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77777777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Council for Behavioral Health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5E3FE548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770BD">
        <w:rPr>
          <w:bCs/>
          <w:sz w:val="28"/>
          <w:szCs w:val="28"/>
        </w:rPr>
        <w:t>September 14</w:t>
      </w:r>
      <w:r>
        <w:rPr>
          <w:bCs/>
          <w:sz w:val="28"/>
          <w:szCs w:val="28"/>
        </w:rPr>
        <w:t>, 2021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0D70C1B3" w14:textId="60B08C44" w:rsidR="00777ADC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Participants</w:t>
      </w:r>
      <w:r>
        <w:rPr>
          <w:rFonts w:eastAsia="Calibri" w:cstheme="minorHAnsi"/>
        </w:rPr>
        <w:t xml:space="preserve">: </w:t>
      </w:r>
      <w:r w:rsidR="00C40954">
        <w:rPr>
          <w:rFonts w:eastAsia="Calibri" w:cstheme="minorHAnsi"/>
        </w:rPr>
        <w:t xml:space="preserve">Alison Avery, Melanie Brown-Woofter, Gian-Carl Casa, Danette Castle, Brenda Cornett, Rick Crawley, Jud </w:t>
      </w:r>
      <w:proofErr w:type="spellStart"/>
      <w:r w:rsidR="00C40954">
        <w:rPr>
          <w:rFonts w:eastAsia="Calibri" w:cstheme="minorHAnsi"/>
        </w:rPr>
        <w:t>DeLoss</w:t>
      </w:r>
      <w:proofErr w:type="spellEnd"/>
      <w:r w:rsidR="00C40954">
        <w:rPr>
          <w:rFonts w:eastAsia="Calibri" w:cstheme="minorHAnsi"/>
        </w:rPr>
        <w:t xml:space="preserve">, Terry Dosch, Doyle Forrestal, Robyn Garrett, Jesse Hambrick, Chelsea Hughes, Lee Johnson, Lisa Joly, Claire Kozik, Joel </w:t>
      </w:r>
      <w:proofErr w:type="spellStart"/>
      <w:r w:rsidR="00C40954">
        <w:rPr>
          <w:rFonts w:eastAsia="Calibri" w:cstheme="minorHAnsi"/>
        </w:rPr>
        <w:t>Landreneau</w:t>
      </w:r>
      <w:proofErr w:type="spellEnd"/>
      <w:r w:rsidR="00C40954">
        <w:rPr>
          <w:rFonts w:eastAsia="Calibri" w:cstheme="minorHAnsi"/>
        </w:rPr>
        <w:t xml:space="preserve">, Mark Levota, Holly McCorkle, </w:t>
      </w:r>
      <w:proofErr w:type="spellStart"/>
      <w:r w:rsidR="00C40954">
        <w:rPr>
          <w:rFonts w:eastAsia="Calibri" w:cstheme="minorHAnsi"/>
        </w:rPr>
        <w:t>Jin</w:t>
      </w:r>
      <w:proofErr w:type="spellEnd"/>
      <w:r w:rsidR="00C40954">
        <w:rPr>
          <w:rFonts w:eastAsia="Calibri" w:cstheme="minorHAnsi"/>
        </w:rPr>
        <w:t xml:space="preserve"> Palen, Carolyn Petrak, Mary-Linden Salter, Megan </w:t>
      </w:r>
      <w:proofErr w:type="spellStart"/>
      <w:r w:rsidR="00C40954">
        <w:rPr>
          <w:rFonts w:eastAsia="Calibri" w:cstheme="minorHAnsi"/>
        </w:rPr>
        <w:t>Socha</w:t>
      </w:r>
      <w:proofErr w:type="spellEnd"/>
      <w:r w:rsidR="00C40954">
        <w:rPr>
          <w:rFonts w:eastAsia="Calibri" w:cstheme="minorHAnsi"/>
        </w:rPr>
        <w:t xml:space="preserve">, Maria </w:t>
      </w:r>
      <w:r w:rsidR="006B05FD">
        <w:rPr>
          <w:rFonts w:eastAsia="Calibri" w:cstheme="minorHAnsi"/>
        </w:rPr>
        <w:t>S</w:t>
      </w:r>
      <w:r w:rsidR="00C40954">
        <w:rPr>
          <w:rFonts w:eastAsia="Calibri" w:cstheme="minorHAnsi"/>
        </w:rPr>
        <w:t xml:space="preserve">mith, </w:t>
      </w:r>
      <w:r w:rsidR="006B05FD">
        <w:rPr>
          <w:rFonts w:eastAsia="Calibri" w:cstheme="minorHAnsi"/>
        </w:rPr>
        <w:t xml:space="preserve">and </w:t>
      </w:r>
      <w:r w:rsidR="00C40954">
        <w:rPr>
          <w:rFonts w:eastAsia="Calibri" w:cstheme="minorHAnsi"/>
        </w:rPr>
        <w:t>Lyly Trinh</w:t>
      </w:r>
      <w:r w:rsidR="006B05FD">
        <w:rPr>
          <w:rFonts w:eastAsia="Calibri" w:cstheme="minorHAnsi"/>
        </w:rPr>
        <w:t>.</w:t>
      </w:r>
    </w:p>
    <w:p w14:paraId="515923AD" w14:textId="77777777" w:rsidR="004E4183" w:rsidRDefault="004E4183" w:rsidP="005E57BB">
      <w:pPr>
        <w:rPr>
          <w:rFonts w:eastAsia="Calibri" w:cstheme="minorHAnsi"/>
          <w:b/>
          <w:bCs/>
          <w:u w:val="single"/>
        </w:rPr>
      </w:pPr>
    </w:p>
    <w:p w14:paraId="1353CF16" w14:textId="59541704" w:rsidR="005E57BB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Staff in Attendance</w:t>
      </w:r>
      <w:r>
        <w:rPr>
          <w:rFonts w:eastAsia="Calibri" w:cstheme="minorHAnsi"/>
        </w:rPr>
        <w:t xml:space="preserve">: </w:t>
      </w:r>
      <w:r w:rsidR="006B05FD">
        <w:rPr>
          <w:rFonts w:eastAsia="Calibri" w:cstheme="minorHAnsi"/>
        </w:rPr>
        <w:t xml:space="preserve">Jeannie Campbell, Brett Beckerson, Neal Comstock, Rebecca Farley David, Sara Haywood, Stephanie Katz, Connor McKay, Joel Nepomuceno, Joe Parks, and Reyna Taylor.  </w:t>
      </w:r>
    </w:p>
    <w:p w14:paraId="3B74DAA0" w14:textId="0CF3F51C" w:rsidR="00777ADC" w:rsidRDefault="00777ADC" w:rsidP="005E57BB">
      <w:pPr>
        <w:rPr>
          <w:rFonts w:eastAsia="Calibri" w:cstheme="minorHAnsi"/>
        </w:rPr>
      </w:pPr>
    </w:p>
    <w:p w14:paraId="060EE381" w14:textId="3A8044B8" w:rsidR="00777ADC" w:rsidRPr="00777ADC" w:rsidRDefault="00777ADC" w:rsidP="005E57BB">
      <w:pPr>
        <w:rPr>
          <w:rFonts w:eastAsia="Calibri" w:cstheme="minorHAnsi"/>
        </w:rPr>
      </w:pPr>
      <w:r w:rsidRPr="00777ADC">
        <w:rPr>
          <w:rFonts w:eastAsia="Calibri" w:cstheme="minorHAnsi"/>
          <w:b/>
          <w:bCs/>
          <w:u w:val="single"/>
        </w:rPr>
        <w:t>Guest Speaker</w:t>
      </w:r>
      <w:r w:rsidRPr="00777ADC">
        <w:rPr>
          <w:rFonts w:eastAsia="Calibri" w:cstheme="minorHAnsi"/>
        </w:rPr>
        <w:t>: Jeff Tenenbaum</w:t>
      </w:r>
      <w:r w:rsidR="009A57ED">
        <w:rPr>
          <w:rFonts w:eastAsia="Calibri" w:cstheme="minorHAnsi"/>
        </w:rPr>
        <w:t xml:space="preserve"> and Nisha Thakker, </w:t>
      </w:r>
      <w:r w:rsidR="003B5618">
        <w:rPr>
          <w:rFonts w:eastAsia="Calibri" w:cstheme="minorHAnsi"/>
        </w:rPr>
        <w:t>The Tenenbaum Group</w:t>
      </w:r>
    </w:p>
    <w:p w14:paraId="31A67EA1" w14:textId="77777777" w:rsidR="00E149C7" w:rsidRDefault="00E149C7" w:rsidP="005E57BB">
      <w:pPr>
        <w:rPr>
          <w:rFonts w:eastAsia="Calibri" w:cstheme="minorHAnsi"/>
          <w:b/>
          <w:bCs/>
          <w:u w:val="single"/>
        </w:rPr>
      </w:pPr>
    </w:p>
    <w:p w14:paraId="113C2968" w14:textId="2FE2FA3B" w:rsidR="005E57BB" w:rsidRDefault="005E57BB" w:rsidP="005E57BB">
      <w:pPr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4C0D26EA" w14:textId="77777777" w:rsidR="005E57BB" w:rsidRDefault="005E57BB" w:rsidP="005E57BB">
      <w:pPr>
        <w:rPr>
          <w:rFonts w:cstheme="minorHAnsi"/>
          <w:u w:val="single"/>
        </w:rPr>
      </w:pPr>
    </w:p>
    <w:p w14:paraId="2F9AB853" w14:textId="3959E650" w:rsidR="005E57BB" w:rsidRDefault="008770BD" w:rsidP="005E57BB">
      <w:pPr>
        <w:rPr>
          <w:rFonts w:cstheme="minorHAnsi"/>
          <w:u w:val="single"/>
        </w:rPr>
      </w:pPr>
      <w:r>
        <w:rPr>
          <w:rFonts w:cstheme="minorHAnsi"/>
          <w:u w:val="single"/>
        </w:rPr>
        <w:t>Policy Update</w:t>
      </w:r>
    </w:p>
    <w:p w14:paraId="26C0772A" w14:textId="68D31210" w:rsidR="000F70DE" w:rsidRDefault="002801A4" w:rsidP="005E57BB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  <w:r w:rsidR="00140B7A">
        <w:rPr>
          <w:rFonts w:eastAsia="Calibri" w:cstheme="minorHAnsi"/>
        </w:rPr>
        <w:t xml:space="preserve"> </w:t>
      </w:r>
    </w:p>
    <w:p w14:paraId="20E73FEA" w14:textId="77777777" w:rsidR="008770BD" w:rsidRDefault="008770BD" w:rsidP="008770BD">
      <w:pPr>
        <w:rPr>
          <w:rFonts w:eastAsia="Calibri" w:cstheme="minorHAnsi"/>
        </w:rPr>
      </w:pPr>
    </w:p>
    <w:p w14:paraId="53C44E2E" w14:textId="06071FA9" w:rsidR="009E6360" w:rsidRPr="00942BCF" w:rsidRDefault="008770BD" w:rsidP="008770BD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introduced the National Council’s new Director of State Policy and Advocacy Keisha Pitts. </w:t>
      </w:r>
      <w:r w:rsidR="000F70DE">
        <w:rPr>
          <w:rFonts w:eastAsia="Calibri" w:cstheme="minorHAnsi"/>
        </w:rPr>
        <w:br/>
      </w:r>
    </w:p>
    <w:p w14:paraId="159779AC" w14:textId="0F9D992A" w:rsidR="00A946E2" w:rsidRDefault="008770BD" w:rsidP="00A946E2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In-Person Meetings and Conferences</w:t>
      </w:r>
    </w:p>
    <w:p w14:paraId="3A61323A" w14:textId="04C5DA04" w:rsidR="004D7583" w:rsidRDefault="008770BD" w:rsidP="00942BCF">
      <w:pPr>
        <w:rPr>
          <w:rFonts w:eastAsia="Calibri" w:cstheme="minorHAnsi"/>
        </w:rPr>
      </w:pPr>
      <w:r>
        <w:rPr>
          <w:rFonts w:eastAsia="Calibri" w:cstheme="minorHAnsi"/>
        </w:rPr>
        <w:t xml:space="preserve">Jeff </w:t>
      </w:r>
      <w:r w:rsidR="009B7798">
        <w:rPr>
          <w:rFonts w:eastAsia="Calibri" w:cstheme="minorHAnsi"/>
        </w:rPr>
        <w:t>Tenenbaum</w:t>
      </w:r>
      <w:r>
        <w:rPr>
          <w:rFonts w:eastAsia="Calibri" w:cstheme="minorHAnsi"/>
        </w:rPr>
        <w:t xml:space="preserve"> an</w:t>
      </w:r>
      <w:r w:rsidR="009A57ED">
        <w:rPr>
          <w:rFonts w:eastAsia="Calibri" w:cstheme="minorHAnsi"/>
        </w:rPr>
        <w:t>d</w:t>
      </w:r>
      <w:r>
        <w:rPr>
          <w:rFonts w:eastAsia="Calibri" w:cstheme="minorHAnsi"/>
        </w:rPr>
        <w:t xml:space="preserve"> Nisha Thakker</w:t>
      </w:r>
    </w:p>
    <w:p w14:paraId="4EFF4B2A" w14:textId="32F356E9" w:rsidR="008770BD" w:rsidRDefault="008770BD" w:rsidP="00942BCF">
      <w:pPr>
        <w:rPr>
          <w:rFonts w:eastAsia="Calibri" w:cstheme="minorHAnsi"/>
        </w:rPr>
      </w:pPr>
    </w:p>
    <w:p w14:paraId="3C59FB84" w14:textId="4446BA3C" w:rsidR="008770BD" w:rsidRDefault="008770BD" w:rsidP="00942BCF">
      <w:pPr>
        <w:rPr>
          <w:rFonts w:eastAsia="Calibri" w:cstheme="minorHAnsi"/>
        </w:rPr>
      </w:pPr>
      <w:r>
        <w:rPr>
          <w:rFonts w:eastAsia="Calibri" w:cstheme="minorHAnsi"/>
        </w:rPr>
        <w:t xml:space="preserve">Jeff </w:t>
      </w:r>
      <w:r w:rsidR="009B7798">
        <w:rPr>
          <w:rFonts w:eastAsia="Calibri" w:cstheme="minorHAnsi"/>
        </w:rPr>
        <w:t>provided</w:t>
      </w:r>
      <w:r>
        <w:rPr>
          <w:rFonts w:eastAsia="Calibri" w:cstheme="minorHAnsi"/>
        </w:rPr>
        <w:t xml:space="preserve"> background on his work </w:t>
      </w:r>
      <w:r w:rsidR="004E7E93">
        <w:rPr>
          <w:rFonts w:eastAsia="Calibri" w:cstheme="minorHAnsi"/>
        </w:rPr>
        <w:t>which included</w:t>
      </w:r>
      <w:r>
        <w:rPr>
          <w:rFonts w:eastAsia="Calibri" w:cstheme="minorHAnsi"/>
        </w:rPr>
        <w:t xml:space="preserve"> cancel</w:t>
      </w:r>
      <w:r w:rsidR="009B7798">
        <w:rPr>
          <w:rFonts w:eastAsia="Calibri" w:cstheme="minorHAnsi"/>
        </w:rPr>
        <w:t>ling</w:t>
      </w:r>
      <w:r>
        <w:rPr>
          <w:rFonts w:eastAsia="Calibri" w:cstheme="minorHAnsi"/>
        </w:rPr>
        <w:t xml:space="preserve"> in-person meetings </w:t>
      </w:r>
      <w:r w:rsidR="009B7798">
        <w:rPr>
          <w:rFonts w:eastAsia="Calibri" w:cstheme="minorHAnsi"/>
        </w:rPr>
        <w:t xml:space="preserve">and </w:t>
      </w:r>
      <w:r>
        <w:rPr>
          <w:rFonts w:eastAsia="Calibri" w:cstheme="minorHAnsi"/>
        </w:rPr>
        <w:t>minimiz</w:t>
      </w:r>
      <w:r w:rsidR="009B7798">
        <w:rPr>
          <w:rFonts w:eastAsia="Calibri" w:cstheme="minorHAnsi"/>
        </w:rPr>
        <w:t>ing</w:t>
      </w:r>
      <w:r>
        <w:rPr>
          <w:rFonts w:eastAsia="Calibri" w:cstheme="minorHAnsi"/>
        </w:rPr>
        <w:t xml:space="preserve"> liabilities. </w:t>
      </w:r>
    </w:p>
    <w:p w14:paraId="71AE1ECA" w14:textId="3FE0170E" w:rsidR="008770BD" w:rsidRDefault="008770BD" w:rsidP="00942BCF">
      <w:pPr>
        <w:rPr>
          <w:rFonts w:eastAsia="Calibri" w:cstheme="minorHAnsi"/>
        </w:rPr>
      </w:pPr>
    </w:p>
    <w:p w14:paraId="12E14EAD" w14:textId="204EA082" w:rsidR="008770BD" w:rsidRDefault="009B7798" w:rsidP="00942BCF">
      <w:pPr>
        <w:rPr>
          <w:rFonts w:eastAsia="Calibri" w:cstheme="minorHAnsi"/>
        </w:rPr>
      </w:pPr>
      <w:r>
        <w:rPr>
          <w:rFonts w:eastAsia="Calibri" w:cstheme="minorHAnsi"/>
        </w:rPr>
        <w:t xml:space="preserve">He also </w:t>
      </w:r>
      <w:r w:rsidR="008770BD">
        <w:rPr>
          <w:rFonts w:eastAsia="Calibri" w:cstheme="minorHAnsi"/>
        </w:rPr>
        <w:t>gave guidance on cancelling future in-person meetings including</w:t>
      </w:r>
      <w:r>
        <w:rPr>
          <w:rFonts w:eastAsia="Calibri" w:cstheme="minorHAnsi"/>
        </w:rPr>
        <w:t xml:space="preserve"> regarding</w:t>
      </w:r>
      <w:r w:rsidR="008770BD">
        <w:rPr>
          <w:rFonts w:eastAsia="Calibri" w:cstheme="minorHAnsi"/>
        </w:rPr>
        <w:t>:</w:t>
      </w:r>
    </w:p>
    <w:p w14:paraId="12728C4C" w14:textId="4E0964D0" w:rsidR="008770BD" w:rsidRDefault="008770BD" w:rsidP="008770BD">
      <w:pPr>
        <w:pStyle w:val="ListParagraph"/>
        <w:numPr>
          <w:ilvl w:val="0"/>
          <w:numId w:val="10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Using “force majeure” </w:t>
      </w:r>
      <w:r w:rsidR="009B7798">
        <w:rPr>
          <w:rFonts w:eastAsia="Calibri" w:cstheme="minorHAnsi"/>
        </w:rPr>
        <w:t xml:space="preserve">clauses </w:t>
      </w:r>
      <w:r>
        <w:rPr>
          <w:rFonts w:eastAsia="Calibri" w:cstheme="minorHAnsi"/>
        </w:rPr>
        <w:t>if there are state or local restrictions in place regarding capacities on gatherings</w:t>
      </w:r>
      <w:r w:rsidR="009B7798">
        <w:rPr>
          <w:rFonts w:eastAsia="Calibri" w:cstheme="minorHAnsi"/>
        </w:rPr>
        <w:t>; and</w:t>
      </w:r>
    </w:p>
    <w:p w14:paraId="737C8D0A" w14:textId="188CEE66" w:rsidR="008770BD" w:rsidRDefault="008770BD" w:rsidP="008770BD">
      <w:pPr>
        <w:pStyle w:val="ListParagraph"/>
        <w:numPr>
          <w:ilvl w:val="0"/>
          <w:numId w:val="10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Checking </w:t>
      </w:r>
      <w:r w:rsidR="004E7E93">
        <w:rPr>
          <w:rFonts w:eastAsia="Calibri" w:cstheme="minorHAnsi"/>
        </w:rPr>
        <w:t>meeting contracts regarding language</w:t>
      </w:r>
      <w:r>
        <w:rPr>
          <w:rFonts w:eastAsia="Calibri" w:cstheme="minorHAnsi"/>
        </w:rPr>
        <w:t xml:space="preserve"> on commercial </w:t>
      </w:r>
      <w:r w:rsidR="009B435E">
        <w:rPr>
          <w:rFonts w:eastAsia="Calibri" w:cstheme="minorHAnsi"/>
        </w:rPr>
        <w:t xml:space="preserve">impracticability. </w:t>
      </w:r>
    </w:p>
    <w:p w14:paraId="5367963E" w14:textId="77777777" w:rsidR="009B435E" w:rsidRDefault="009B435E" w:rsidP="009B435E">
      <w:pPr>
        <w:rPr>
          <w:rFonts w:eastAsia="Calibri" w:cstheme="minorHAnsi"/>
        </w:rPr>
      </w:pPr>
    </w:p>
    <w:p w14:paraId="5304A70B" w14:textId="54ACD7AF" w:rsidR="009B435E" w:rsidRDefault="009B435E" w:rsidP="009B435E">
      <w:pPr>
        <w:rPr>
          <w:rFonts w:eastAsia="Calibri" w:cstheme="minorHAnsi"/>
        </w:rPr>
      </w:pPr>
      <w:r>
        <w:rPr>
          <w:rFonts w:eastAsia="Calibri" w:cstheme="minorHAnsi"/>
        </w:rPr>
        <w:t xml:space="preserve">Jeff also </w:t>
      </w:r>
      <w:r w:rsidR="009B7798">
        <w:rPr>
          <w:rFonts w:eastAsia="Calibri" w:cstheme="minorHAnsi"/>
        </w:rPr>
        <w:t>discussed</w:t>
      </w:r>
      <w:r>
        <w:rPr>
          <w:rFonts w:eastAsia="Calibri" w:cstheme="minorHAnsi"/>
        </w:rPr>
        <w:t xml:space="preserve"> </w:t>
      </w:r>
      <w:r w:rsidR="009B7798">
        <w:rPr>
          <w:rFonts w:eastAsia="Calibri" w:cstheme="minorHAnsi"/>
        </w:rPr>
        <w:t xml:space="preserve">considerations in </w:t>
      </w:r>
      <w:r>
        <w:rPr>
          <w:rFonts w:eastAsia="Calibri" w:cstheme="minorHAnsi"/>
        </w:rPr>
        <w:t>negotiating with hotels and event space</w:t>
      </w:r>
      <w:r w:rsidR="009B7798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if an association must cancel their in-person meetings such as: </w:t>
      </w:r>
    </w:p>
    <w:p w14:paraId="77BE0638" w14:textId="6EFC038B" w:rsidR="009B435E" w:rsidRDefault="009B435E" w:rsidP="009B435E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Offering a rebook</w:t>
      </w:r>
      <w:r w:rsidR="009B7798">
        <w:rPr>
          <w:rFonts w:eastAsia="Calibri" w:cstheme="minorHAnsi"/>
        </w:rPr>
        <w:t>ing</w:t>
      </w:r>
      <w:r>
        <w:rPr>
          <w:rFonts w:eastAsia="Calibri" w:cstheme="minorHAnsi"/>
        </w:rPr>
        <w:t xml:space="preserve"> of the event</w:t>
      </w:r>
      <w:r w:rsidR="009B7798">
        <w:rPr>
          <w:rFonts w:eastAsia="Calibri" w:cstheme="minorHAnsi"/>
        </w:rPr>
        <w:t>;</w:t>
      </w:r>
    </w:p>
    <w:p w14:paraId="63343878" w14:textId="55DD15A1" w:rsidR="009B435E" w:rsidRDefault="009B435E" w:rsidP="009B435E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Using any cancellation penalties as a deposit for future events</w:t>
      </w:r>
      <w:r w:rsidR="009B7798">
        <w:rPr>
          <w:rFonts w:eastAsia="Calibri" w:cstheme="minorHAnsi"/>
        </w:rPr>
        <w:t>;</w:t>
      </w:r>
    </w:p>
    <w:p w14:paraId="0412CEEA" w14:textId="078AA5E1" w:rsidR="004E7E93" w:rsidRDefault="009B435E" w:rsidP="009B435E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Negotiating to increase food and beverage minimums </w:t>
      </w:r>
      <w:r w:rsidR="009A57ED">
        <w:rPr>
          <w:rFonts w:eastAsia="Calibri" w:cstheme="minorHAnsi"/>
        </w:rPr>
        <w:t>at future events</w:t>
      </w:r>
      <w:r w:rsidR="009B7798">
        <w:rPr>
          <w:rFonts w:eastAsia="Calibri" w:cstheme="minorHAnsi"/>
        </w:rPr>
        <w:t>;</w:t>
      </w:r>
      <w:r w:rsidR="005D1CDC">
        <w:rPr>
          <w:rFonts w:eastAsia="Calibri" w:cstheme="minorHAnsi"/>
        </w:rPr>
        <w:t xml:space="preserve"> or</w:t>
      </w:r>
    </w:p>
    <w:p w14:paraId="7D07BDFD" w14:textId="788917A6" w:rsidR="009B435E" w:rsidRDefault="005D1CDC" w:rsidP="009B435E">
      <w:pPr>
        <w:pStyle w:val="ListParagraph"/>
        <w:numPr>
          <w:ilvl w:val="0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9B435E">
        <w:rPr>
          <w:rFonts w:eastAsia="Calibri" w:cstheme="minorHAnsi"/>
        </w:rPr>
        <w:t>old</w:t>
      </w:r>
      <w:r>
        <w:rPr>
          <w:rFonts w:eastAsia="Calibri" w:cstheme="minorHAnsi"/>
        </w:rPr>
        <w:t>ing</w:t>
      </w:r>
      <w:r w:rsidR="009B435E">
        <w:rPr>
          <w:rFonts w:eastAsia="Calibri" w:cstheme="minorHAnsi"/>
        </w:rPr>
        <w:t xml:space="preserve"> smaller meetings in addition to the original rescheduled event. </w:t>
      </w:r>
    </w:p>
    <w:p w14:paraId="575A7083" w14:textId="77777777" w:rsidR="004E7E93" w:rsidRDefault="004E7E93" w:rsidP="009B435E">
      <w:pPr>
        <w:rPr>
          <w:rFonts w:eastAsia="Calibri" w:cstheme="minorHAnsi"/>
        </w:rPr>
      </w:pPr>
    </w:p>
    <w:p w14:paraId="5BA658AD" w14:textId="11BD5907" w:rsidR="009B435E" w:rsidRDefault="005D1CDC" w:rsidP="009B435E">
      <w:pPr>
        <w:rPr>
          <w:rFonts w:eastAsia="Calibri" w:cstheme="minorHAnsi"/>
        </w:rPr>
      </w:pPr>
      <w:r>
        <w:rPr>
          <w:rFonts w:eastAsia="Calibri" w:cstheme="minorHAnsi"/>
        </w:rPr>
        <w:t>He</w:t>
      </w:r>
      <w:r w:rsidR="009B435E">
        <w:rPr>
          <w:rFonts w:eastAsia="Calibri" w:cstheme="minorHAnsi"/>
        </w:rPr>
        <w:t xml:space="preserve"> advised against reaching out to hotels initially and informing them </w:t>
      </w:r>
      <w:r w:rsidR="004E7E93">
        <w:rPr>
          <w:rFonts w:eastAsia="Calibri" w:cstheme="minorHAnsi"/>
        </w:rPr>
        <w:t>of</w:t>
      </w:r>
      <w:r w:rsidR="009B435E">
        <w:rPr>
          <w:rFonts w:eastAsia="Calibri" w:cstheme="minorHAnsi"/>
        </w:rPr>
        <w:t xml:space="preserve"> intent to cancel. Instead, Jeff suggested contacting the hotel to let them know that</w:t>
      </w:r>
      <w:r w:rsidR="004E7E93">
        <w:rPr>
          <w:rFonts w:eastAsia="Calibri" w:cstheme="minorHAnsi"/>
        </w:rPr>
        <w:t xml:space="preserve"> the</w:t>
      </w:r>
      <w:r w:rsidR="009B435E">
        <w:rPr>
          <w:rFonts w:eastAsia="Calibri" w:cstheme="minorHAnsi"/>
        </w:rPr>
        <w:t xml:space="preserve"> association ha</w:t>
      </w:r>
      <w:r w:rsidR="004E7E93">
        <w:rPr>
          <w:rFonts w:eastAsia="Calibri" w:cstheme="minorHAnsi"/>
        </w:rPr>
        <w:t>s</w:t>
      </w:r>
      <w:r w:rsidR="009B435E">
        <w:rPr>
          <w:rFonts w:eastAsia="Calibri" w:cstheme="minorHAnsi"/>
        </w:rPr>
        <w:t xml:space="preserve"> concerns and would like to explore all options. </w:t>
      </w:r>
    </w:p>
    <w:p w14:paraId="6522B913" w14:textId="77777777" w:rsidR="009B435E" w:rsidRPr="009B435E" w:rsidRDefault="009B435E" w:rsidP="009B435E">
      <w:pPr>
        <w:rPr>
          <w:rFonts w:eastAsia="Calibri" w:cstheme="minorHAnsi"/>
        </w:rPr>
      </w:pPr>
    </w:p>
    <w:p w14:paraId="7012A0D6" w14:textId="36558783" w:rsidR="009B435E" w:rsidRDefault="009B435E" w:rsidP="009B435E">
      <w:pPr>
        <w:rPr>
          <w:rFonts w:eastAsia="Calibri" w:cstheme="minorHAnsi"/>
        </w:rPr>
      </w:pPr>
      <w:r>
        <w:rPr>
          <w:rFonts w:eastAsia="Calibri" w:cstheme="minorHAnsi"/>
        </w:rPr>
        <w:t xml:space="preserve">Jeff also gave guidance to associations who are moving forward with their in-person events and </w:t>
      </w:r>
      <w:r w:rsidR="005D1CDC">
        <w:rPr>
          <w:rFonts w:eastAsia="Calibri" w:cstheme="minorHAnsi"/>
        </w:rPr>
        <w:t xml:space="preserve">discussed </w:t>
      </w:r>
      <w:r>
        <w:rPr>
          <w:rFonts w:eastAsia="Calibri" w:cstheme="minorHAnsi"/>
        </w:rPr>
        <w:t xml:space="preserve">topics including: </w:t>
      </w:r>
    </w:p>
    <w:p w14:paraId="5BF720A2" w14:textId="40CCFADD" w:rsidR="009B435E" w:rsidRDefault="009B435E" w:rsidP="009B435E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Renegotiating guaranteed minimums to account for decreased in-person attendance</w:t>
      </w:r>
      <w:r w:rsidR="005D1CDC">
        <w:rPr>
          <w:rFonts w:eastAsia="Calibri" w:cstheme="minorHAnsi"/>
        </w:rPr>
        <w:t>;</w:t>
      </w:r>
    </w:p>
    <w:p w14:paraId="2D0427BD" w14:textId="794C16C2" w:rsidR="009B435E" w:rsidRDefault="009B435E" w:rsidP="009B435E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Avoiding liability through</w:t>
      </w:r>
      <w:r w:rsidR="005D1CDC">
        <w:rPr>
          <w:rFonts w:eastAsia="Calibri" w:cstheme="minorHAnsi"/>
        </w:rPr>
        <w:t xml:space="preserve"> - </w:t>
      </w:r>
    </w:p>
    <w:p w14:paraId="4EF7F594" w14:textId="7711FE8B" w:rsidR="009B435E" w:rsidRDefault="009B435E" w:rsidP="009B435E">
      <w:pPr>
        <w:pStyle w:val="ListParagraph"/>
        <w:numPr>
          <w:ilvl w:val="1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A liability waiver</w:t>
      </w:r>
      <w:r w:rsidR="005D1CDC">
        <w:rPr>
          <w:rFonts w:eastAsia="Calibri" w:cstheme="minorHAnsi"/>
        </w:rPr>
        <w:t>,</w:t>
      </w:r>
    </w:p>
    <w:p w14:paraId="1CFC86A1" w14:textId="23813364" w:rsidR="009B435E" w:rsidRDefault="009B435E" w:rsidP="009B435E">
      <w:pPr>
        <w:pStyle w:val="ListParagraph"/>
        <w:numPr>
          <w:ilvl w:val="1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>Vaccine mandates and required legal accommodations</w:t>
      </w:r>
      <w:r w:rsidR="005D1CDC">
        <w:rPr>
          <w:rFonts w:eastAsia="Calibri" w:cstheme="minorHAnsi"/>
        </w:rPr>
        <w:t>, and</w:t>
      </w:r>
    </w:p>
    <w:p w14:paraId="0EF0486E" w14:textId="7DB7CCDB" w:rsidR="009B435E" w:rsidRDefault="009B435E" w:rsidP="009B435E">
      <w:pPr>
        <w:pStyle w:val="ListParagraph"/>
        <w:numPr>
          <w:ilvl w:val="2"/>
          <w:numId w:val="12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Using vaccine verification companies to verify vaccine status of attendees. </w:t>
      </w:r>
    </w:p>
    <w:p w14:paraId="0F3AF48C" w14:textId="77777777" w:rsidR="00C40954" w:rsidRPr="00C40954" w:rsidRDefault="00C40954" w:rsidP="00C40954">
      <w:pPr>
        <w:rPr>
          <w:rFonts w:eastAsia="Calibri" w:cstheme="minorHAnsi"/>
        </w:rPr>
      </w:pPr>
    </w:p>
    <w:p w14:paraId="6C5863AB" w14:textId="0961299D" w:rsidR="005E57BB" w:rsidRPr="00B30BF3" w:rsidRDefault="008770BD" w:rsidP="005E57BB">
      <w:pPr>
        <w:rPr>
          <w:rFonts w:eastAsia="Calibri" w:cstheme="minorHAnsi"/>
        </w:rPr>
      </w:pPr>
      <w:r w:rsidRPr="008770BD">
        <w:rPr>
          <w:rFonts w:eastAsia="Calibri" w:cstheme="minorHAnsi"/>
        </w:rPr>
        <w:t xml:space="preserve"> </w:t>
      </w:r>
      <w:bookmarkEnd w:id="0"/>
      <w:bookmarkEnd w:id="1"/>
      <w:r w:rsidR="005E57BB">
        <w:rPr>
          <w:rFonts w:cstheme="minorHAnsi"/>
          <w:b/>
          <w:bCs/>
          <w:u w:val="single"/>
        </w:rPr>
        <w:t>Next Association Executives Teleconference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5FBE8FDB" w:rsidR="005E57BB" w:rsidRDefault="005E57BB" w:rsidP="005E57BB">
      <w:pPr>
        <w:rPr>
          <w:rFonts w:cstheme="minorHAnsi"/>
        </w:rPr>
      </w:pPr>
      <w:r>
        <w:rPr>
          <w:rFonts w:cstheme="minorHAnsi"/>
        </w:rPr>
        <w:t xml:space="preserve">The next Association Executives meeting will be on Tuesday, </w:t>
      </w:r>
      <w:r w:rsidR="00203B9D">
        <w:rPr>
          <w:rFonts w:cstheme="minorHAnsi"/>
        </w:rPr>
        <w:t>September 21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2021,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09F" w14:textId="77777777" w:rsidR="004615BE" w:rsidRDefault="004615BE" w:rsidP="00565A5A">
      <w:r>
        <w:separator/>
      </w:r>
    </w:p>
  </w:endnote>
  <w:endnote w:type="continuationSeparator" w:id="0">
    <w:p w14:paraId="640D3F64" w14:textId="77777777" w:rsidR="004615BE" w:rsidRDefault="004615B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30E" w14:textId="77777777" w:rsidR="004615BE" w:rsidRDefault="004615BE" w:rsidP="00565A5A">
      <w:r>
        <w:separator/>
      </w:r>
    </w:p>
  </w:footnote>
  <w:footnote w:type="continuationSeparator" w:id="0">
    <w:p w14:paraId="3922DF18" w14:textId="77777777" w:rsidR="004615BE" w:rsidRDefault="004615B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16A1"/>
    <w:rsid w:val="00065B82"/>
    <w:rsid w:val="0007100C"/>
    <w:rsid w:val="00073D89"/>
    <w:rsid w:val="000905C2"/>
    <w:rsid w:val="000E15D2"/>
    <w:rsid w:val="000E4E72"/>
    <w:rsid w:val="000E52B0"/>
    <w:rsid w:val="000F70DE"/>
    <w:rsid w:val="00100E4B"/>
    <w:rsid w:val="00104E77"/>
    <w:rsid w:val="001156B7"/>
    <w:rsid w:val="00135F3D"/>
    <w:rsid w:val="00140B7A"/>
    <w:rsid w:val="001671B3"/>
    <w:rsid w:val="00171A7F"/>
    <w:rsid w:val="00185482"/>
    <w:rsid w:val="0019109F"/>
    <w:rsid w:val="001924C6"/>
    <w:rsid w:val="00195157"/>
    <w:rsid w:val="00203B9D"/>
    <w:rsid w:val="002319E8"/>
    <w:rsid w:val="00234F81"/>
    <w:rsid w:val="00240073"/>
    <w:rsid w:val="002572FD"/>
    <w:rsid w:val="00261292"/>
    <w:rsid w:val="002801A4"/>
    <w:rsid w:val="00294E00"/>
    <w:rsid w:val="002A2952"/>
    <w:rsid w:val="002B5DF4"/>
    <w:rsid w:val="002B695F"/>
    <w:rsid w:val="002C00CF"/>
    <w:rsid w:val="00302DA5"/>
    <w:rsid w:val="0031549F"/>
    <w:rsid w:val="00323E4F"/>
    <w:rsid w:val="003359B6"/>
    <w:rsid w:val="00372457"/>
    <w:rsid w:val="003737A0"/>
    <w:rsid w:val="0037787D"/>
    <w:rsid w:val="003B5618"/>
    <w:rsid w:val="003B67C6"/>
    <w:rsid w:val="003B7A74"/>
    <w:rsid w:val="00400554"/>
    <w:rsid w:val="004110EF"/>
    <w:rsid w:val="00456CF7"/>
    <w:rsid w:val="004615BE"/>
    <w:rsid w:val="004B6909"/>
    <w:rsid w:val="004C29D5"/>
    <w:rsid w:val="004D1642"/>
    <w:rsid w:val="004D23F6"/>
    <w:rsid w:val="004D7583"/>
    <w:rsid w:val="004E4183"/>
    <w:rsid w:val="004E5D5C"/>
    <w:rsid w:val="004E7E93"/>
    <w:rsid w:val="00565A5A"/>
    <w:rsid w:val="00570C61"/>
    <w:rsid w:val="00592816"/>
    <w:rsid w:val="005B6140"/>
    <w:rsid w:val="005D1CDC"/>
    <w:rsid w:val="005E57BB"/>
    <w:rsid w:val="00624248"/>
    <w:rsid w:val="00645E51"/>
    <w:rsid w:val="00661035"/>
    <w:rsid w:val="006712AA"/>
    <w:rsid w:val="00683702"/>
    <w:rsid w:val="006B05FD"/>
    <w:rsid w:val="006B6733"/>
    <w:rsid w:val="007226CD"/>
    <w:rsid w:val="00734324"/>
    <w:rsid w:val="00777ADC"/>
    <w:rsid w:val="007849E9"/>
    <w:rsid w:val="00796B76"/>
    <w:rsid w:val="007A1DA2"/>
    <w:rsid w:val="007B0C47"/>
    <w:rsid w:val="007B3415"/>
    <w:rsid w:val="007B623D"/>
    <w:rsid w:val="007F2453"/>
    <w:rsid w:val="007F394F"/>
    <w:rsid w:val="0081509A"/>
    <w:rsid w:val="0086209D"/>
    <w:rsid w:val="008770BD"/>
    <w:rsid w:val="008822B5"/>
    <w:rsid w:val="00884415"/>
    <w:rsid w:val="008A2EBB"/>
    <w:rsid w:val="008B1A8D"/>
    <w:rsid w:val="008C29B9"/>
    <w:rsid w:val="008C2BBE"/>
    <w:rsid w:val="008D673C"/>
    <w:rsid w:val="008F2616"/>
    <w:rsid w:val="008F5DB2"/>
    <w:rsid w:val="009075C2"/>
    <w:rsid w:val="00920D39"/>
    <w:rsid w:val="00940DFB"/>
    <w:rsid w:val="00942BCF"/>
    <w:rsid w:val="009A57ED"/>
    <w:rsid w:val="009B435E"/>
    <w:rsid w:val="009B7798"/>
    <w:rsid w:val="009C17C9"/>
    <w:rsid w:val="009E6360"/>
    <w:rsid w:val="00A15F59"/>
    <w:rsid w:val="00A815A4"/>
    <w:rsid w:val="00A946E2"/>
    <w:rsid w:val="00AA5139"/>
    <w:rsid w:val="00AB1A1F"/>
    <w:rsid w:val="00AB2BA0"/>
    <w:rsid w:val="00AB71A0"/>
    <w:rsid w:val="00B30BF3"/>
    <w:rsid w:val="00B327E1"/>
    <w:rsid w:val="00B47423"/>
    <w:rsid w:val="00B556E7"/>
    <w:rsid w:val="00B55D94"/>
    <w:rsid w:val="00B6542E"/>
    <w:rsid w:val="00B711E2"/>
    <w:rsid w:val="00B72AE8"/>
    <w:rsid w:val="00BA7C15"/>
    <w:rsid w:val="00BE00F3"/>
    <w:rsid w:val="00BE2B60"/>
    <w:rsid w:val="00BE7FF9"/>
    <w:rsid w:val="00BF22D0"/>
    <w:rsid w:val="00C1050B"/>
    <w:rsid w:val="00C3565B"/>
    <w:rsid w:val="00C40954"/>
    <w:rsid w:val="00C565C0"/>
    <w:rsid w:val="00C77E92"/>
    <w:rsid w:val="00C82953"/>
    <w:rsid w:val="00CA6CB1"/>
    <w:rsid w:val="00CC08AA"/>
    <w:rsid w:val="00D14991"/>
    <w:rsid w:val="00D373E0"/>
    <w:rsid w:val="00D77972"/>
    <w:rsid w:val="00D85480"/>
    <w:rsid w:val="00DA77E5"/>
    <w:rsid w:val="00DB148C"/>
    <w:rsid w:val="00DB5B9E"/>
    <w:rsid w:val="00DC1D64"/>
    <w:rsid w:val="00DD63D0"/>
    <w:rsid w:val="00DF0D8D"/>
    <w:rsid w:val="00E149C7"/>
    <w:rsid w:val="00E430E5"/>
    <w:rsid w:val="00E65D7C"/>
    <w:rsid w:val="00E8085D"/>
    <w:rsid w:val="00E87344"/>
    <w:rsid w:val="00EC1852"/>
    <w:rsid w:val="00F04FED"/>
    <w:rsid w:val="00F5139D"/>
    <w:rsid w:val="00F55739"/>
    <w:rsid w:val="00F93C77"/>
    <w:rsid w:val="00FA7CAB"/>
    <w:rsid w:val="00FB4B16"/>
    <w:rsid w:val="00FC6916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cp:lastPrinted>2021-03-25T20:40:00Z</cp:lastPrinted>
  <dcterms:created xsi:type="dcterms:W3CDTF">2021-09-20T23:01:00Z</dcterms:created>
  <dcterms:modified xsi:type="dcterms:W3CDTF">2021-09-20T23:15:00Z</dcterms:modified>
</cp:coreProperties>
</file>