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001D" w14:textId="4B2D4C70" w:rsidR="000E75A2" w:rsidRDefault="000E75A2" w:rsidP="000E75A2">
      <w:pPr>
        <w:tabs>
          <w:tab w:val="clear" w:pos="6420"/>
        </w:tabs>
        <w:spacing w:before="0" w:line="240" w:lineRule="auto"/>
        <w:rPr>
          <w:rFonts w:asciiTheme="majorHAnsi" w:hAnsiTheme="majorHAnsi" w:cstheme="majorHAnsi"/>
          <w:sz w:val="24"/>
          <w:szCs w:val="24"/>
        </w:rPr>
      </w:pPr>
      <w:r>
        <w:rPr>
          <w:rFonts w:asciiTheme="majorHAnsi" w:hAnsiTheme="majorHAnsi" w:cstheme="majorHAnsi"/>
          <w:sz w:val="24"/>
          <w:szCs w:val="24"/>
        </w:rPr>
        <w:t>Memorandum</w:t>
      </w:r>
    </w:p>
    <w:p w14:paraId="298E7C34" w14:textId="65F5F313" w:rsidR="000E75A2" w:rsidRDefault="000E75A2" w:rsidP="000E75A2">
      <w:pPr>
        <w:tabs>
          <w:tab w:val="clear" w:pos="6420"/>
        </w:tabs>
        <w:spacing w:before="0" w:line="240" w:lineRule="auto"/>
        <w:rPr>
          <w:rFonts w:asciiTheme="majorHAnsi" w:hAnsiTheme="majorHAnsi" w:cstheme="majorHAnsi"/>
          <w:sz w:val="24"/>
          <w:szCs w:val="24"/>
        </w:rPr>
      </w:pPr>
      <w:r>
        <w:rPr>
          <w:rFonts w:asciiTheme="majorHAnsi" w:hAnsiTheme="majorHAnsi" w:cstheme="majorHAnsi"/>
          <w:sz w:val="24"/>
          <w:szCs w:val="24"/>
        </w:rPr>
        <w:t xml:space="preserve">Subject: </w:t>
      </w:r>
      <w:r w:rsidRPr="000E75A2">
        <w:rPr>
          <w:rFonts w:asciiTheme="majorHAnsi" w:hAnsiTheme="majorHAnsi" w:cstheme="majorHAnsi"/>
          <w:b/>
          <w:bCs/>
          <w:sz w:val="24"/>
          <w:szCs w:val="24"/>
        </w:rPr>
        <w:t>Vaccine Mandate Summary</w:t>
      </w:r>
    </w:p>
    <w:p w14:paraId="4DBD2EA0" w14:textId="3A352A5F" w:rsidR="000E75A2" w:rsidRDefault="000E75A2" w:rsidP="000E75A2">
      <w:pPr>
        <w:tabs>
          <w:tab w:val="clear" w:pos="6420"/>
        </w:tabs>
        <w:spacing w:before="0" w:line="240" w:lineRule="auto"/>
        <w:rPr>
          <w:rFonts w:asciiTheme="majorHAnsi" w:hAnsiTheme="majorHAnsi" w:cstheme="majorHAnsi"/>
          <w:sz w:val="24"/>
          <w:szCs w:val="24"/>
        </w:rPr>
      </w:pPr>
      <w:r>
        <w:rPr>
          <w:rFonts w:asciiTheme="majorHAnsi" w:hAnsiTheme="majorHAnsi" w:cstheme="majorHAnsi"/>
          <w:sz w:val="24"/>
          <w:szCs w:val="24"/>
        </w:rPr>
        <w:t>Date: November 5, 2021</w:t>
      </w:r>
    </w:p>
    <w:p w14:paraId="24A7477E" w14:textId="77777777" w:rsidR="000E75A2" w:rsidRDefault="000E75A2" w:rsidP="000E75A2">
      <w:pPr>
        <w:tabs>
          <w:tab w:val="clear" w:pos="6420"/>
        </w:tabs>
        <w:spacing w:before="0" w:line="240" w:lineRule="auto"/>
        <w:rPr>
          <w:rFonts w:asciiTheme="majorHAnsi" w:hAnsiTheme="majorHAnsi" w:cstheme="majorHAnsi"/>
          <w:sz w:val="24"/>
          <w:szCs w:val="24"/>
        </w:rPr>
      </w:pPr>
    </w:p>
    <w:p w14:paraId="7A43A41C" w14:textId="63FADA1D"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Dear Association Executives - We have received several questions around the recent vaccine mandates released by the Biden Administration this week. We hope this summary, along with the summaries from our federal consultant group help answer some of your questions.  </w:t>
      </w:r>
    </w:p>
    <w:p w14:paraId="0FFBC8DA"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4954FE47"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hAnsiTheme="majorHAnsi" w:cstheme="majorHAnsi"/>
          <w:sz w:val="24"/>
          <w:szCs w:val="24"/>
        </w:rPr>
        <w:t xml:space="preserve">On November 4, </w:t>
      </w:r>
      <w:r w:rsidRPr="000E75A2">
        <w:rPr>
          <w:rFonts w:asciiTheme="majorHAnsi" w:eastAsia="Times New Roman" w:hAnsiTheme="majorHAnsi" w:cstheme="majorHAnsi"/>
          <w:color w:val="303030"/>
          <w:sz w:val="24"/>
          <w:szCs w:val="24"/>
        </w:rPr>
        <w:t>the </w:t>
      </w:r>
      <w:r w:rsidRPr="000E75A2">
        <w:rPr>
          <w:rFonts w:asciiTheme="majorHAnsi" w:eastAsia="Times New Roman" w:hAnsiTheme="majorHAnsi" w:cstheme="majorHAnsi"/>
          <w:b/>
          <w:bCs/>
          <w:color w:val="303030"/>
          <w:sz w:val="24"/>
          <w:szCs w:val="24"/>
        </w:rPr>
        <w:t>Centers for Medicare and Medicaid Services (CMS) </w:t>
      </w:r>
      <w:r w:rsidRPr="000E75A2">
        <w:rPr>
          <w:rFonts w:asciiTheme="majorHAnsi" w:eastAsia="Times New Roman" w:hAnsiTheme="majorHAnsi" w:cstheme="majorHAnsi"/>
          <w:color w:val="303030"/>
          <w:sz w:val="24"/>
          <w:szCs w:val="24"/>
        </w:rPr>
        <w:t>issued an interim final rule with comment (IFC), entitled “</w:t>
      </w:r>
      <w:r w:rsidRPr="000E75A2">
        <w:rPr>
          <w:rFonts w:asciiTheme="majorHAnsi" w:eastAsia="Times New Roman" w:hAnsiTheme="majorHAnsi" w:cstheme="majorHAnsi"/>
          <w:b/>
          <w:bCs/>
          <w:color w:val="303030"/>
          <w:sz w:val="24"/>
          <w:szCs w:val="24"/>
        </w:rPr>
        <w:t>Medicare and Medicaid Programs: Omnibus COVID-19 Health Care Staff Vaccination”</w:t>
      </w:r>
      <w:r w:rsidRPr="000E75A2">
        <w:rPr>
          <w:rFonts w:asciiTheme="majorHAnsi" w:eastAsia="Times New Roman" w:hAnsiTheme="majorHAnsi" w:cstheme="majorHAnsi"/>
          <w:color w:val="303030"/>
          <w:sz w:val="24"/>
          <w:szCs w:val="24"/>
        </w:rPr>
        <w:t> (</w:t>
      </w:r>
      <w:hyperlink r:id="rId7" w:tgtFrame="_blank" w:history="1">
        <w:r w:rsidRPr="000E75A2">
          <w:rPr>
            <w:rFonts w:asciiTheme="majorHAnsi" w:eastAsia="Times New Roman" w:hAnsiTheme="majorHAnsi" w:cstheme="majorHAnsi"/>
            <w:color w:val="A11000"/>
            <w:sz w:val="24"/>
            <w:szCs w:val="24"/>
            <w:u w:val="single"/>
          </w:rPr>
          <w:t>rule</w:t>
        </w:r>
      </w:hyperlink>
      <w:r w:rsidRPr="000E75A2">
        <w:rPr>
          <w:rFonts w:asciiTheme="majorHAnsi" w:eastAsia="Times New Roman" w:hAnsiTheme="majorHAnsi" w:cstheme="majorHAnsi"/>
          <w:color w:val="303030"/>
          <w:sz w:val="24"/>
          <w:szCs w:val="24"/>
        </w:rPr>
        <w:t>;</w:t>
      </w:r>
      <w:r w:rsidRPr="000E75A2">
        <w:rPr>
          <w:rFonts w:asciiTheme="majorHAnsi" w:eastAsia="Times New Roman" w:hAnsiTheme="majorHAnsi" w:cstheme="majorHAnsi"/>
          <w:color w:val="303030"/>
          <w:sz w:val="24"/>
          <w:szCs w:val="24"/>
          <w:u w:val="single"/>
        </w:rPr>
        <w:t> </w:t>
      </w:r>
      <w:hyperlink r:id="rId8" w:tgtFrame="_blank" w:history="1">
        <w:r w:rsidRPr="000E75A2">
          <w:rPr>
            <w:rFonts w:asciiTheme="majorHAnsi" w:eastAsia="Times New Roman" w:hAnsiTheme="majorHAnsi" w:cstheme="majorHAnsi"/>
            <w:color w:val="A11000"/>
            <w:sz w:val="24"/>
            <w:szCs w:val="24"/>
            <w:u w:val="single"/>
          </w:rPr>
          <w:t>press release</w:t>
        </w:r>
      </w:hyperlink>
      <w:hyperlink r:id="rId9" w:tgtFrame="_blank" w:history="1">
        <w:r w:rsidRPr="000E75A2">
          <w:rPr>
            <w:rFonts w:asciiTheme="majorHAnsi" w:eastAsia="Times New Roman" w:hAnsiTheme="majorHAnsi" w:cstheme="majorHAnsi"/>
            <w:color w:val="303030"/>
            <w:sz w:val="24"/>
            <w:szCs w:val="24"/>
          </w:rPr>
          <w:t>;</w:t>
        </w:r>
      </w:hyperlink>
      <w:r w:rsidRPr="000E75A2">
        <w:rPr>
          <w:rFonts w:asciiTheme="majorHAnsi" w:eastAsia="Times New Roman" w:hAnsiTheme="majorHAnsi" w:cstheme="majorHAnsi"/>
          <w:color w:val="303030"/>
          <w:sz w:val="24"/>
          <w:szCs w:val="24"/>
        </w:rPr>
        <w:t> </w:t>
      </w:r>
      <w:hyperlink r:id="rId10" w:tgtFrame="_blank" w:history="1">
        <w:r w:rsidRPr="000E75A2">
          <w:rPr>
            <w:rFonts w:asciiTheme="majorHAnsi" w:eastAsia="Times New Roman" w:hAnsiTheme="majorHAnsi" w:cstheme="majorHAnsi"/>
            <w:color w:val="A11000"/>
            <w:sz w:val="24"/>
            <w:szCs w:val="24"/>
            <w:u w:val="single"/>
          </w:rPr>
          <w:t>FAQ</w:t>
        </w:r>
      </w:hyperlink>
      <w:r w:rsidRPr="000E75A2">
        <w:rPr>
          <w:rFonts w:asciiTheme="majorHAnsi" w:eastAsia="Times New Roman" w:hAnsiTheme="majorHAnsi" w:cstheme="majorHAnsi"/>
          <w:color w:val="303030"/>
          <w:sz w:val="24"/>
          <w:szCs w:val="24"/>
        </w:rPr>
        <w:t xml:space="preserve">). </w:t>
      </w:r>
    </w:p>
    <w:p w14:paraId="5CABD4A4"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4709722B" w14:textId="19C260CA"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The IF</w:t>
      </w:r>
      <w:r w:rsidR="000B5DD5">
        <w:rPr>
          <w:rFonts w:asciiTheme="majorHAnsi" w:eastAsia="Times New Roman" w:hAnsiTheme="majorHAnsi" w:cstheme="majorHAnsi"/>
          <w:color w:val="303030"/>
          <w:sz w:val="24"/>
          <w:szCs w:val="24"/>
        </w:rPr>
        <w:t>C</w:t>
      </w:r>
      <w:r w:rsidRPr="000E75A2">
        <w:rPr>
          <w:rFonts w:asciiTheme="majorHAnsi" w:eastAsia="Times New Roman" w:hAnsiTheme="majorHAnsi" w:cstheme="majorHAnsi"/>
          <w:color w:val="303030"/>
          <w:sz w:val="24"/>
          <w:szCs w:val="24"/>
        </w:rPr>
        <w:t xml:space="preserve"> stipulates that all staff members, including those who perform their duties outside of a formal clinical setting, of certain providers and suppliers participating in the Medicare and Medicaid programs must be fully vaccinated against COVID-19 unless exempt. </w:t>
      </w:r>
    </w:p>
    <w:p w14:paraId="506DA640"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198FBBCB"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eastAsia="Times New Roman" w:hAnsiTheme="majorHAnsi" w:cstheme="majorHAnsi"/>
          <w:color w:val="303030"/>
          <w:sz w:val="24"/>
          <w:szCs w:val="24"/>
        </w:rPr>
        <w:t xml:space="preserve">The definition of applicable facilities under the Medicare-certified providers and suppliers is </w:t>
      </w:r>
      <w:r w:rsidRPr="000E75A2">
        <w:rPr>
          <w:rFonts w:asciiTheme="majorHAnsi" w:hAnsiTheme="majorHAnsi" w:cstheme="majorHAnsi"/>
          <w:sz w:val="24"/>
          <w:szCs w:val="24"/>
        </w:rPr>
        <w:t xml:space="preserve">listed under federal statute (for example the current Medicare definition of CMHCs (there are 129 Medicare-certified CMHCs throughout the country) which is Section 4162 of the Omnibus Budget Reconciliation Act of 1990 (Pub. L. 101-508, enacted November 5, 1990) (OBRA 1990), which added sections 1861(ff) and 1832(a)(2)(J) to the Act, includes CMHCs as entities that are authorized to provide partial hospitalization services under Part B of the Medicare program). </w:t>
      </w:r>
    </w:p>
    <w:p w14:paraId="3A242CB8"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18D45DBF"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However, the definition of Medicaid-certified providers and suppliers will vary by state. We suggest you contact your state Medicaid agency to determine the list of the providers and suppliers that are subject to the IFC. </w:t>
      </w:r>
    </w:p>
    <w:p w14:paraId="261D2621"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474C8D3D"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As noted in the summary below, the IFC does not allow for weekly testing in lieu of vaccination and maintains the employer’s right to require full vaccination of employees regardless of exemptions listed in the IFC. The final rule is expected to be published in </w:t>
      </w:r>
      <w:r w:rsidRPr="000E75A2">
        <w:rPr>
          <w:rFonts w:asciiTheme="majorHAnsi" w:hAnsiTheme="majorHAnsi" w:cstheme="majorHAnsi"/>
          <w:i/>
          <w:iCs/>
          <w:sz w:val="24"/>
          <w:szCs w:val="24"/>
        </w:rPr>
        <w:t>The Federal Register</w:t>
      </w:r>
      <w:r w:rsidRPr="000E75A2">
        <w:rPr>
          <w:rFonts w:asciiTheme="majorHAnsi" w:hAnsiTheme="majorHAnsi" w:cstheme="majorHAnsi"/>
          <w:sz w:val="24"/>
          <w:szCs w:val="24"/>
        </w:rPr>
        <w:t xml:space="preserve"> on November 5, 2021, with an expected effective date of January 4, 2022. There is the opportunity to comment on the IFC. Comments must be received no later than 60 days after the publication of the IFC in </w:t>
      </w:r>
      <w:r w:rsidRPr="000E75A2">
        <w:rPr>
          <w:rFonts w:asciiTheme="majorHAnsi" w:hAnsiTheme="majorHAnsi" w:cstheme="majorHAnsi"/>
          <w:i/>
          <w:iCs/>
          <w:sz w:val="24"/>
          <w:szCs w:val="24"/>
        </w:rPr>
        <w:t>The Federal Register</w:t>
      </w:r>
      <w:r w:rsidRPr="000E75A2">
        <w:rPr>
          <w:rFonts w:asciiTheme="majorHAnsi" w:hAnsiTheme="majorHAnsi" w:cstheme="majorHAnsi"/>
          <w:sz w:val="24"/>
          <w:szCs w:val="24"/>
        </w:rPr>
        <w:t>. </w:t>
      </w:r>
    </w:p>
    <w:p w14:paraId="5ED3416A"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69815AB1"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Also released was the</w:t>
      </w:r>
      <w:r w:rsidRPr="000E75A2">
        <w:rPr>
          <w:rFonts w:asciiTheme="majorHAnsi" w:eastAsia="Times New Roman" w:hAnsiTheme="majorHAnsi" w:cstheme="majorHAnsi"/>
          <w:b/>
          <w:bCs/>
          <w:color w:val="303030"/>
          <w:sz w:val="24"/>
          <w:szCs w:val="24"/>
        </w:rPr>
        <w:t xml:space="preserve"> Occupational Safety and Health Administration (OSHA)</w:t>
      </w:r>
      <w:r w:rsidRPr="000E75A2">
        <w:rPr>
          <w:rFonts w:asciiTheme="majorHAnsi" w:eastAsia="Times New Roman" w:hAnsiTheme="majorHAnsi" w:cstheme="majorHAnsi"/>
          <w:color w:val="303030"/>
          <w:sz w:val="24"/>
          <w:szCs w:val="24"/>
        </w:rPr>
        <w:t xml:space="preserve"> </w:t>
      </w:r>
      <w:r w:rsidRPr="000E75A2">
        <w:rPr>
          <w:rFonts w:asciiTheme="majorHAnsi" w:eastAsia="Times New Roman" w:hAnsiTheme="majorHAnsi" w:cstheme="majorHAnsi"/>
          <w:b/>
          <w:bCs/>
          <w:color w:val="303030"/>
          <w:sz w:val="24"/>
          <w:szCs w:val="24"/>
        </w:rPr>
        <w:t>Emergency Temporary</w:t>
      </w:r>
      <w:r w:rsidRPr="000E75A2">
        <w:rPr>
          <w:rFonts w:asciiTheme="majorHAnsi" w:eastAsia="Times New Roman" w:hAnsiTheme="majorHAnsi" w:cstheme="majorHAnsi"/>
          <w:color w:val="303030"/>
          <w:sz w:val="24"/>
          <w:szCs w:val="24"/>
        </w:rPr>
        <w:t xml:space="preserve"> </w:t>
      </w:r>
      <w:r w:rsidRPr="000E75A2">
        <w:rPr>
          <w:rFonts w:asciiTheme="majorHAnsi" w:eastAsia="Times New Roman" w:hAnsiTheme="majorHAnsi" w:cstheme="majorHAnsi"/>
          <w:b/>
          <w:bCs/>
          <w:color w:val="303030"/>
          <w:sz w:val="24"/>
          <w:szCs w:val="24"/>
        </w:rPr>
        <w:t xml:space="preserve">Standard </w:t>
      </w:r>
      <w:r w:rsidRPr="000E75A2">
        <w:rPr>
          <w:rFonts w:asciiTheme="majorHAnsi" w:eastAsia="Times New Roman" w:hAnsiTheme="majorHAnsi" w:cstheme="majorHAnsi"/>
          <w:color w:val="303030"/>
          <w:sz w:val="24"/>
          <w:szCs w:val="24"/>
        </w:rPr>
        <w:t xml:space="preserve">(ETS) for </w:t>
      </w:r>
      <w:r w:rsidRPr="000E75A2">
        <w:rPr>
          <w:rFonts w:asciiTheme="majorHAnsi" w:eastAsia="Times New Roman" w:hAnsiTheme="majorHAnsi" w:cstheme="majorHAnsi"/>
          <w:b/>
          <w:bCs/>
          <w:color w:val="303030"/>
          <w:sz w:val="24"/>
          <w:szCs w:val="24"/>
        </w:rPr>
        <w:t>COVID-19 vaccination and testing</w:t>
      </w:r>
      <w:r w:rsidRPr="000E75A2">
        <w:rPr>
          <w:rFonts w:asciiTheme="majorHAnsi" w:eastAsia="Times New Roman" w:hAnsiTheme="majorHAnsi" w:cstheme="majorHAnsi"/>
          <w:color w:val="303030"/>
          <w:sz w:val="24"/>
          <w:szCs w:val="24"/>
        </w:rPr>
        <w:t xml:space="preserve"> (</w:t>
      </w:r>
      <w:hyperlink r:id="rId11" w:tgtFrame="_blank" w:history="1">
        <w:r w:rsidRPr="000E75A2">
          <w:rPr>
            <w:rFonts w:asciiTheme="majorHAnsi" w:eastAsia="Times New Roman" w:hAnsiTheme="majorHAnsi" w:cstheme="majorHAnsi"/>
            <w:color w:val="A11000"/>
            <w:sz w:val="24"/>
            <w:szCs w:val="24"/>
            <w:u w:val="single"/>
          </w:rPr>
          <w:t>rule</w:t>
        </w:r>
      </w:hyperlink>
      <w:r w:rsidRPr="000E75A2">
        <w:rPr>
          <w:rFonts w:asciiTheme="majorHAnsi" w:eastAsia="Times New Roman" w:hAnsiTheme="majorHAnsi" w:cstheme="majorHAnsi"/>
          <w:color w:val="303030"/>
          <w:sz w:val="24"/>
          <w:szCs w:val="24"/>
        </w:rPr>
        <w:t xml:space="preserve">; </w:t>
      </w:r>
      <w:hyperlink r:id="rId12" w:tgtFrame="_blank" w:history="1">
        <w:r w:rsidRPr="000E75A2">
          <w:rPr>
            <w:rFonts w:asciiTheme="majorHAnsi" w:eastAsia="Times New Roman" w:hAnsiTheme="majorHAnsi" w:cstheme="majorHAnsi"/>
            <w:color w:val="A11000"/>
            <w:sz w:val="24"/>
            <w:szCs w:val="24"/>
            <w:u w:val="single"/>
          </w:rPr>
          <w:t>fact sheet</w:t>
        </w:r>
      </w:hyperlink>
      <w:hyperlink r:id="rId13" w:tgtFrame="_blank" w:history="1">
        <w:r w:rsidRPr="000E75A2">
          <w:rPr>
            <w:rFonts w:asciiTheme="majorHAnsi" w:eastAsia="Times New Roman" w:hAnsiTheme="majorHAnsi" w:cstheme="majorHAnsi"/>
            <w:color w:val="303030"/>
            <w:sz w:val="24"/>
            <w:szCs w:val="24"/>
            <w:u w:val="single"/>
          </w:rPr>
          <w:t>;</w:t>
        </w:r>
      </w:hyperlink>
      <w:r w:rsidRPr="000E75A2">
        <w:rPr>
          <w:rFonts w:asciiTheme="majorHAnsi" w:eastAsia="Times New Roman" w:hAnsiTheme="majorHAnsi" w:cstheme="majorHAnsi"/>
          <w:color w:val="303030"/>
          <w:sz w:val="24"/>
          <w:szCs w:val="24"/>
        </w:rPr>
        <w:t xml:space="preserve"> </w:t>
      </w:r>
      <w:hyperlink r:id="rId14" w:tgtFrame="_blank" w:history="1">
        <w:r w:rsidRPr="000E75A2">
          <w:rPr>
            <w:rFonts w:asciiTheme="majorHAnsi" w:eastAsia="Times New Roman" w:hAnsiTheme="majorHAnsi" w:cstheme="majorHAnsi"/>
            <w:color w:val="A11000"/>
            <w:sz w:val="24"/>
            <w:szCs w:val="24"/>
            <w:u w:val="single"/>
          </w:rPr>
          <w:t>press release</w:t>
        </w:r>
      </w:hyperlink>
      <w:r w:rsidRPr="000E75A2">
        <w:rPr>
          <w:rFonts w:asciiTheme="majorHAnsi" w:eastAsia="Times New Roman" w:hAnsiTheme="majorHAnsi" w:cstheme="majorHAnsi"/>
          <w:color w:val="303030"/>
          <w:sz w:val="24"/>
          <w:szCs w:val="24"/>
        </w:rPr>
        <w:t xml:space="preserve">) </w:t>
      </w:r>
      <w:r w:rsidRPr="000E75A2">
        <w:rPr>
          <w:rFonts w:asciiTheme="majorHAnsi" w:eastAsia="Times New Roman" w:hAnsiTheme="majorHAnsi" w:cstheme="majorHAnsi"/>
          <w:b/>
          <w:bCs/>
          <w:color w:val="303030"/>
          <w:sz w:val="24"/>
          <w:szCs w:val="24"/>
        </w:rPr>
        <w:t>in the workplace</w:t>
      </w:r>
      <w:r w:rsidRPr="000E75A2">
        <w:rPr>
          <w:rFonts w:asciiTheme="majorHAnsi" w:eastAsia="Times New Roman" w:hAnsiTheme="majorHAnsi" w:cstheme="majorHAnsi"/>
          <w:color w:val="303030"/>
          <w:sz w:val="24"/>
          <w:szCs w:val="24"/>
        </w:rPr>
        <w:t xml:space="preserve">. </w:t>
      </w:r>
      <w:r w:rsidRPr="000E75A2">
        <w:rPr>
          <w:rFonts w:asciiTheme="majorHAnsi" w:hAnsiTheme="majorHAnsi" w:cstheme="majorHAnsi"/>
          <w:sz w:val="24"/>
          <w:szCs w:val="24"/>
        </w:rPr>
        <w:t xml:space="preserve">The ETS requires employees — who are employed by private-sector employers with 100 or more employees — to get vaccinated or test negative for the virus once per week and wear a mask indoors. It also requires employers to provide paid time off for employees to get vaccinated and recovery time from </w:t>
      </w:r>
      <w:proofErr w:type="gramStart"/>
      <w:r w:rsidRPr="000E75A2">
        <w:rPr>
          <w:rFonts w:asciiTheme="majorHAnsi" w:hAnsiTheme="majorHAnsi" w:cstheme="majorHAnsi"/>
          <w:sz w:val="24"/>
          <w:szCs w:val="24"/>
        </w:rPr>
        <w:t>vaccination, and</w:t>
      </w:r>
      <w:proofErr w:type="gramEnd"/>
      <w:r w:rsidRPr="000E75A2">
        <w:rPr>
          <w:rFonts w:asciiTheme="majorHAnsi" w:hAnsiTheme="majorHAnsi" w:cstheme="majorHAnsi"/>
          <w:sz w:val="24"/>
          <w:szCs w:val="24"/>
        </w:rPr>
        <w:t xml:space="preserve"> requires that the 28 states with OHSA approved state plans must also adhere to the ETS.</w:t>
      </w:r>
      <w:r w:rsidRPr="000E75A2">
        <w:rPr>
          <w:rFonts w:asciiTheme="majorHAnsi" w:eastAsia="Times New Roman" w:hAnsiTheme="majorHAnsi" w:cstheme="majorHAnsi"/>
          <w:color w:val="303030"/>
          <w:sz w:val="24"/>
          <w:szCs w:val="24"/>
        </w:rPr>
        <w:t xml:space="preserve"> </w:t>
      </w:r>
    </w:p>
    <w:p w14:paraId="22813AAE"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52B4DAC9"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 xml:space="preserve">The ETS mandates that employers determine the vaccination status of each employee, obtain acceptable proof of vaccination status from vaccinated employees, and maintain records and a roster of each employee's vaccination status. </w:t>
      </w:r>
    </w:p>
    <w:p w14:paraId="7F3A25FC"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74D033FF"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The testing requirement for unvaccinated workers is slated to begin on January 4, 2022 and employers must comply with all other requirements (</w:t>
      </w:r>
      <w:proofErr w:type="gramStart"/>
      <w:r w:rsidRPr="000E75A2">
        <w:rPr>
          <w:rFonts w:asciiTheme="majorHAnsi" w:eastAsia="Times New Roman" w:hAnsiTheme="majorHAnsi" w:cstheme="majorHAnsi"/>
          <w:color w:val="303030"/>
          <w:sz w:val="24"/>
          <w:szCs w:val="24"/>
        </w:rPr>
        <w:t>i.e.</w:t>
      </w:r>
      <w:proofErr w:type="gramEnd"/>
      <w:r w:rsidRPr="000E75A2">
        <w:rPr>
          <w:rFonts w:asciiTheme="majorHAnsi" w:eastAsia="Times New Roman" w:hAnsiTheme="majorHAnsi" w:cstheme="majorHAnsi"/>
          <w:color w:val="303030"/>
          <w:sz w:val="24"/>
          <w:szCs w:val="24"/>
        </w:rPr>
        <w:t xml:space="preserve"> providing paid time off for employees to get vaccinated and masking for unvaccinated workers) by December 5, 2021. Employees falling under the ETS rules will need to have their final vaccination dose by January 4, 2022. </w:t>
      </w:r>
    </w:p>
    <w:p w14:paraId="7267BCCA"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10C274AA"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r w:rsidRPr="000E75A2">
        <w:rPr>
          <w:rFonts w:asciiTheme="majorHAnsi" w:eastAsia="Times New Roman" w:hAnsiTheme="majorHAnsi" w:cstheme="majorHAnsi"/>
          <w:color w:val="303030"/>
          <w:sz w:val="24"/>
          <w:szCs w:val="24"/>
        </w:rPr>
        <w:t>OSHA has published a series of</w:t>
      </w:r>
      <w:r w:rsidRPr="000E75A2">
        <w:rPr>
          <w:rFonts w:asciiTheme="majorHAnsi" w:eastAsia="Times New Roman" w:hAnsiTheme="majorHAnsi" w:cstheme="majorHAnsi"/>
          <w:b/>
          <w:bCs/>
          <w:color w:val="303030"/>
          <w:sz w:val="24"/>
          <w:szCs w:val="24"/>
        </w:rPr>
        <w:t xml:space="preserve"> </w:t>
      </w:r>
      <w:hyperlink r:id="rId15" w:tgtFrame="_blank" w:history="1">
        <w:r w:rsidRPr="000E75A2">
          <w:rPr>
            <w:rFonts w:asciiTheme="majorHAnsi" w:eastAsia="Times New Roman" w:hAnsiTheme="majorHAnsi" w:cstheme="majorHAnsi"/>
            <w:b/>
            <w:bCs/>
            <w:color w:val="A11000"/>
            <w:sz w:val="24"/>
            <w:szCs w:val="24"/>
            <w:u w:val="single"/>
          </w:rPr>
          <w:t>resources</w:t>
        </w:r>
      </w:hyperlink>
      <w:r w:rsidRPr="000E75A2">
        <w:rPr>
          <w:rFonts w:asciiTheme="majorHAnsi" w:eastAsia="Times New Roman" w:hAnsiTheme="majorHAnsi" w:cstheme="majorHAnsi"/>
          <w:color w:val="303030"/>
          <w:sz w:val="24"/>
          <w:szCs w:val="24"/>
        </w:rPr>
        <w:t xml:space="preserve"> with respect to this ETS, including: </w:t>
      </w:r>
      <w:hyperlink r:id="rId16" w:tgtFrame="_blank" w:history="1">
        <w:r w:rsidRPr="000E75A2">
          <w:rPr>
            <w:rFonts w:asciiTheme="majorHAnsi" w:eastAsia="Times New Roman" w:hAnsiTheme="majorHAnsi" w:cstheme="majorHAnsi"/>
            <w:color w:val="A11000"/>
            <w:sz w:val="24"/>
            <w:szCs w:val="24"/>
            <w:u w:val="single"/>
          </w:rPr>
          <w:t>frequently asked questions</w:t>
        </w:r>
      </w:hyperlink>
      <w:r w:rsidRPr="000E75A2">
        <w:rPr>
          <w:rFonts w:asciiTheme="majorHAnsi" w:eastAsia="Times New Roman" w:hAnsiTheme="majorHAnsi" w:cstheme="majorHAnsi"/>
          <w:color w:val="303030"/>
          <w:sz w:val="24"/>
          <w:szCs w:val="24"/>
        </w:rPr>
        <w:t xml:space="preserve">; </w:t>
      </w:r>
      <w:hyperlink r:id="rId17" w:tgtFrame="_blank" w:history="1">
        <w:r w:rsidRPr="000E75A2">
          <w:rPr>
            <w:rFonts w:asciiTheme="majorHAnsi" w:eastAsia="Times New Roman" w:hAnsiTheme="majorHAnsi" w:cstheme="majorHAnsi"/>
            <w:color w:val="A11000"/>
            <w:sz w:val="24"/>
            <w:szCs w:val="24"/>
            <w:u w:val="single"/>
          </w:rPr>
          <w:t>guidance materials</w:t>
        </w:r>
      </w:hyperlink>
      <w:r w:rsidRPr="000E75A2">
        <w:rPr>
          <w:rFonts w:asciiTheme="majorHAnsi" w:eastAsia="Times New Roman" w:hAnsiTheme="majorHAnsi" w:cstheme="majorHAnsi"/>
          <w:color w:val="303030"/>
          <w:sz w:val="24"/>
          <w:szCs w:val="24"/>
        </w:rPr>
        <w:t xml:space="preserve">; and </w:t>
      </w:r>
      <w:hyperlink r:id="rId18" w:tgtFrame="_blank" w:history="1">
        <w:r w:rsidRPr="000E75A2">
          <w:rPr>
            <w:rFonts w:asciiTheme="majorHAnsi" w:eastAsia="Times New Roman" w:hAnsiTheme="majorHAnsi" w:cstheme="majorHAnsi"/>
            <w:color w:val="A11000"/>
            <w:sz w:val="24"/>
            <w:szCs w:val="24"/>
            <w:u w:val="single"/>
          </w:rPr>
          <w:t>reporting requirements</w:t>
        </w:r>
      </w:hyperlink>
      <w:r w:rsidRPr="000E75A2">
        <w:rPr>
          <w:rFonts w:asciiTheme="majorHAnsi" w:eastAsia="Times New Roman" w:hAnsiTheme="majorHAnsi" w:cstheme="majorHAnsi"/>
          <w:color w:val="303030"/>
          <w:sz w:val="24"/>
          <w:szCs w:val="24"/>
        </w:rPr>
        <w:t xml:space="preserve">. </w:t>
      </w:r>
    </w:p>
    <w:p w14:paraId="0F026B29" w14:textId="77777777" w:rsidR="000E75A2" w:rsidRPr="000E75A2" w:rsidRDefault="000E75A2" w:rsidP="000E75A2">
      <w:pPr>
        <w:tabs>
          <w:tab w:val="clear" w:pos="6420"/>
        </w:tabs>
        <w:spacing w:before="0" w:line="240" w:lineRule="auto"/>
        <w:rPr>
          <w:rFonts w:asciiTheme="majorHAnsi" w:eastAsia="Times New Roman" w:hAnsiTheme="majorHAnsi" w:cstheme="majorHAnsi"/>
          <w:color w:val="303030"/>
          <w:sz w:val="24"/>
          <w:szCs w:val="24"/>
        </w:rPr>
      </w:pPr>
    </w:p>
    <w:p w14:paraId="6AD5CFB8" w14:textId="6408E668"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 xml:space="preserve">Please see the summaries below from our federal consultants that go into more details. </w:t>
      </w:r>
      <w:r w:rsidR="000B5DD5">
        <w:rPr>
          <w:rFonts w:asciiTheme="majorHAnsi" w:hAnsiTheme="majorHAnsi" w:cstheme="majorHAnsi"/>
          <w:sz w:val="24"/>
          <w:szCs w:val="24"/>
        </w:rPr>
        <w:t>Please feel free to share this with your members.</w:t>
      </w:r>
    </w:p>
    <w:p w14:paraId="278EBF28"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2A481801"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Best,</w:t>
      </w:r>
    </w:p>
    <w:p w14:paraId="2ACDBA3A"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p>
    <w:p w14:paraId="316E1112" w14:textId="77777777" w:rsidR="000E75A2" w:rsidRPr="000E75A2" w:rsidRDefault="000E75A2" w:rsidP="000E75A2">
      <w:pPr>
        <w:tabs>
          <w:tab w:val="clear" w:pos="6420"/>
        </w:tabs>
        <w:spacing w:before="0" w:line="240" w:lineRule="auto"/>
        <w:rPr>
          <w:rFonts w:asciiTheme="majorHAnsi" w:hAnsiTheme="majorHAnsi" w:cstheme="majorHAnsi"/>
          <w:sz w:val="24"/>
          <w:szCs w:val="24"/>
        </w:rPr>
      </w:pPr>
      <w:r w:rsidRPr="000E75A2">
        <w:rPr>
          <w:rFonts w:asciiTheme="majorHAnsi" w:hAnsiTheme="majorHAnsi" w:cstheme="majorHAnsi"/>
          <w:sz w:val="24"/>
          <w:szCs w:val="24"/>
        </w:rPr>
        <w:t>Reyna</w:t>
      </w:r>
    </w:p>
    <w:p w14:paraId="6691BCBF" w14:textId="77777777" w:rsidR="000E75A2" w:rsidRPr="000E75A2" w:rsidRDefault="000E75A2" w:rsidP="000E75A2">
      <w:pPr>
        <w:tabs>
          <w:tab w:val="clear" w:pos="6420"/>
        </w:tabs>
        <w:spacing w:before="0" w:line="240" w:lineRule="auto"/>
        <w:rPr>
          <w:rFonts w:ascii="Calibri" w:hAnsi="Calibri" w:cs="Calibri"/>
        </w:rPr>
      </w:pPr>
    </w:p>
    <w:p w14:paraId="0002EA18" w14:textId="77777777" w:rsidR="000E75A2" w:rsidRPr="000E75A2" w:rsidRDefault="000E75A2" w:rsidP="000E75A2">
      <w:pPr>
        <w:tabs>
          <w:tab w:val="clear" w:pos="6420"/>
        </w:tabs>
        <w:spacing w:before="0" w:line="240" w:lineRule="auto"/>
        <w:rPr>
          <w:rFonts w:asciiTheme="minorHAnsi" w:hAnsiTheme="minorHAnsi" w:cstheme="minorBidi"/>
          <w:b/>
          <w:bCs/>
          <w:color w:val="0070C0"/>
        </w:rPr>
      </w:pPr>
      <w:bookmarkStart w:id="0" w:name="_Hlk35873038"/>
      <w:r w:rsidRPr="000E75A2">
        <w:rPr>
          <w:rFonts w:asciiTheme="minorHAnsi" w:hAnsiTheme="minorHAnsi" w:cstheme="minorBidi"/>
          <w:b/>
          <w:bCs/>
          <w:color w:val="0070C0"/>
        </w:rPr>
        <w:t>Reyna Taylor</w:t>
      </w:r>
    </w:p>
    <w:p w14:paraId="0ADB541E" w14:textId="77777777" w:rsidR="000E75A2" w:rsidRPr="000E75A2" w:rsidRDefault="000E75A2" w:rsidP="000E75A2">
      <w:pPr>
        <w:tabs>
          <w:tab w:val="clear" w:pos="6420"/>
        </w:tabs>
        <w:spacing w:before="0" w:line="240" w:lineRule="auto"/>
        <w:rPr>
          <w:rFonts w:asciiTheme="minorHAnsi" w:hAnsiTheme="minorHAnsi" w:cstheme="minorBidi"/>
          <w:color w:val="0070C0"/>
        </w:rPr>
      </w:pPr>
      <w:r w:rsidRPr="000E75A2">
        <w:rPr>
          <w:rFonts w:asciiTheme="minorHAnsi" w:hAnsiTheme="minorHAnsi" w:cstheme="minorBidi"/>
          <w:color w:val="0070C0"/>
        </w:rPr>
        <w:t>Vice President, Public Policy</w:t>
      </w:r>
    </w:p>
    <w:p w14:paraId="1B36BBA0" w14:textId="77777777" w:rsidR="000E75A2" w:rsidRPr="000E75A2" w:rsidRDefault="000E75A2" w:rsidP="000E75A2">
      <w:pPr>
        <w:tabs>
          <w:tab w:val="clear" w:pos="6420"/>
        </w:tabs>
        <w:spacing w:before="0" w:line="240" w:lineRule="auto"/>
        <w:rPr>
          <w:rFonts w:asciiTheme="minorHAnsi" w:hAnsiTheme="minorHAnsi" w:cstheme="minorBidi"/>
          <w:color w:val="0070C0"/>
        </w:rPr>
      </w:pPr>
      <w:r w:rsidRPr="000E75A2">
        <w:rPr>
          <w:rFonts w:asciiTheme="minorHAnsi" w:hAnsiTheme="minorHAnsi" w:cstheme="minorBidi"/>
          <w:color w:val="0070C0"/>
        </w:rPr>
        <w:t>National Council for Mental Wellbeing</w:t>
      </w:r>
    </w:p>
    <w:p w14:paraId="1DC89754" w14:textId="77777777" w:rsidR="000E75A2" w:rsidRPr="000E75A2" w:rsidRDefault="000E75A2" w:rsidP="000E75A2">
      <w:pPr>
        <w:tabs>
          <w:tab w:val="clear" w:pos="6420"/>
        </w:tabs>
        <w:spacing w:before="0" w:line="240" w:lineRule="auto"/>
        <w:rPr>
          <w:rFonts w:asciiTheme="minorHAnsi" w:hAnsiTheme="minorHAnsi" w:cstheme="minorBidi"/>
          <w:color w:val="0070C0"/>
        </w:rPr>
      </w:pPr>
      <w:r w:rsidRPr="000E75A2">
        <w:rPr>
          <w:rFonts w:asciiTheme="minorHAnsi" w:hAnsiTheme="minorHAnsi" w:cstheme="minorBidi"/>
          <w:color w:val="0070C0"/>
        </w:rPr>
        <w:t>Direct: 202-774-1651</w:t>
      </w:r>
    </w:p>
    <w:p w14:paraId="336246B6" w14:textId="77777777" w:rsidR="000E75A2" w:rsidRPr="000E75A2" w:rsidRDefault="000B5DD5" w:rsidP="000E75A2">
      <w:pPr>
        <w:tabs>
          <w:tab w:val="clear" w:pos="6420"/>
        </w:tabs>
        <w:spacing w:before="0" w:line="240" w:lineRule="auto"/>
        <w:rPr>
          <w:rFonts w:asciiTheme="minorHAnsi" w:hAnsiTheme="minorHAnsi" w:cstheme="minorBidi"/>
          <w:color w:val="0070C0"/>
        </w:rPr>
      </w:pPr>
      <w:hyperlink r:id="rId19" w:history="1">
        <w:r w:rsidR="000E75A2" w:rsidRPr="000E75A2">
          <w:rPr>
            <w:rFonts w:asciiTheme="minorHAnsi" w:hAnsiTheme="minorHAnsi" w:cstheme="minorBidi"/>
            <w:color w:val="0563C1" w:themeColor="hyperlink"/>
            <w:u w:val="single"/>
          </w:rPr>
          <w:t>ReynaT@thenationalcouncil.org</w:t>
        </w:r>
      </w:hyperlink>
    </w:p>
    <w:bookmarkEnd w:id="0"/>
    <w:p w14:paraId="5C3F7BBF" w14:textId="77777777" w:rsidR="000E75A2" w:rsidRPr="000E75A2" w:rsidRDefault="000E75A2" w:rsidP="000E75A2">
      <w:pPr>
        <w:tabs>
          <w:tab w:val="clear" w:pos="6420"/>
        </w:tabs>
        <w:spacing w:before="0" w:line="240" w:lineRule="auto"/>
        <w:rPr>
          <w:rFonts w:ascii="Calibri" w:hAnsi="Calibri" w:cs="Calibri"/>
        </w:rPr>
      </w:pPr>
    </w:p>
    <w:p w14:paraId="108E3E34" w14:textId="04D07AEA" w:rsidR="00323CAC" w:rsidRPr="00E63863" w:rsidRDefault="00323CAC" w:rsidP="00E63863"/>
    <w:sectPr w:rsidR="00323CAC" w:rsidRPr="00E63863" w:rsidSect="00A507F0">
      <w:headerReference w:type="default" r:id="rId20"/>
      <w:footerReference w:type="default" r:id="rId21"/>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BB7A" w14:textId="77777777" w:rsidR="00A07B66" w:rsidRDefault="00A07B66" w:rsidP="00F85149">
      <w:r>
        <w:separator/>
      </w:r>
    </w:p>
  </w:endnote>
  <w:endnote w:type="continuationSeparator" w:id="0">
    <w:p w14:paraId="3966F830" w14:textId="77777777" w:rsidR="00A07B66" w:rsidRDefault="00A07B66"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EBE" w14:textId="3477C8AB" w:rsidR="00E65D7C" w:rsidRDefault="00F5139D" w:rsidP="00F85149">
    <w:pPr>
      <w:pStyle w:val="Footer"/>
    </w:pPr>
    <w:r>
      <w:rPr>
        <w:noProof/>
      </w:rPr>
      <w:drawing>
        <wp:anchor distT="0" distB="0" distL="114300" distR="114300" simplePos="0" relativeHeight="251665408" behindDoc="1" locked="0" layoutInCell="1" allowOverlap="1" wp14:anchorId="6708486B" wp14:editId="4C188201">
          <wp:simplePos x="0" y="0"/>
          <wp:positionH relativeFrom="column">
            <wp:posOffset>-913765</wp:posOffset>
          </wp:positionH>
          <wp:positionV relativeFrom="page">
            <wp:posOffset>9207500</wp:posOffset>
          </wp:positionV>
          <wp:extent cx="7768584" cy="812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8584" cy="8124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A935" w14:textId="77777777" w:rsidR="00A07B66" w:rsidRDefault="00A07B66" w:rsidP="00F85149">
      <w:r>
        <w:separator/>
      </w:r>
    </w:p>
  </w:footnote>
  <w:footnote w:type="continuationSeparator" w:id="0">
    <w:p w14:paraId="202D5090" w14:textId="77777777" w:rsidR="00A07B66" w:rsidRDefault="00A07B66"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0F7B0A1C" w:rsidR="00565A5A" w:rsidRPr="00BE2B60" w:rsidRDefault="00B47423" w:rsidP="00F85149">
    <w:pPr>
      <w:pStyle w:val="Header"/>
      <w:rPr>
        <w:sz w:val="44"/>
        <w:szCs w:val="44"/>
      </w:rPr>
    </w:pPr>
    <w:r>
      <w:rPr>
        <w:noProof/>
      </w:rPr>
      <w:drawing>
        <wp:anchor distT="0" distB="0" distL="114300" distR="114300" simplePos="0" relativeHeight="251663360"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0F27"/>
    <w:multiLevelType w:val="hybridMultilevel"/>
    <w:tmpl w:val="6B2AAB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15E176E"/>
    <w:multiLevelType w:val="hybridMultilevel"/>
    <w:tmpl w:val="682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406C7"/>
    <w:multiLevelType w:val="hybridMultilevel"/>
    <w:tmpl w:val="5104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E5987"/>
    <w:multiLevelType w:val="hybridMultilevel"/>
    <w:tmpl w:val="1DC22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905C2"/>
    <w:rsid w:val="000B5DD5"/>
    <w:rsid w:val="000E4E72"/>
    <w:rsid w:val="000E52B0"/>
    <w:rsid w:val="000E75A2"/>
    <w:rsid w:val="00100E4B"/>
    <w:rsid w:val="00133D65"/>
    <w:rsid w:val="00135F3D"/>
    <w:rsid w:val="0014729E"/>
    <w:rsid w:val="0018488A"/>
    <w:rsid w:val="0019109F"/>
    <w:rsid w:val="001924C6"/>
    <w:rsid w:val="00215351"/>
    <w:rsid w:val="00240073"/>
    <w:rsid w:val="0025173B"/>
    <w:rsid w:val="00261292"/>
    <w:rsid w:val="00270809"/>
    <w:rsid w:val="002B695F"/>
    <w:rsid w:val="00302DA5"/>
    <w:rsid w:val="0031549F"/>
    <w:rsid w:val="00323CAC"/>
    <w:rsid w:val="00323E4F"/>
    <w:rsid w:val="003359B6"/>
    <w:rsid w:val="003737A0"/>
    <w:rsid w:val="0037787D"/>
    <w:rsid w:val="003B67C6"/>
    <w:rsid w:val="003B7A74"/>
    <w:rsid w:val="00400554"/>
    <w:rsid w:val="0042543C"/>
    <w:rsid w:val="00473B55"/>
    <w:rsid w:val="004B57FC"/>
    <w:rsid w:val="004C29D5"/>
    <w:rsid w:val="00503997"/>
    <w:rsid w:val="005653DC"/>
    <w:rsid w:val="00565A5A"/>
    <w:rsid w:val="00592816"/>
    <w:rsid w:val="00594DCE"/>
    <w:rsid w:val="005C3886"/>
    <w:rsid w:val="005C589C"/>
    <w:rsid w:val="00624248"/>
    <w:rsid w:val="006712AA"/>
    <w:rsid w:val="00683702"/>
    <w:rsid w:val="006B5CD0"/>
    <w:rsid w:val="006C681E"/>
    <w:rsid w:val="007226CD"/>
    <w:rsid w:val="00734324"/>
    <w:rsid w:val="007849E9"/>
    <w:rsid w:val="00796B76"/>
    <w:rsid w:val="007E1D5B"/>
    <w:rsid w:val="007F2453"/>
    <w:rsid w:val="008526F9"/>
    <w:rsid w:val="008822B5"/>
    <w:rsid w:val="008A2EBB"/>
    <w:rsid w:val="008B1A8D"/>
    <w:rsid w:val="008C2BBE"/>
    <w:rsid w:val="008F5DB2"/>
    <w:rsid w:val="009075C2"/>
    <w:rsid w:val="00920D39"/>
    <w:rsid w:val="00993FD4"/>
    <w:rsid w:val="00A07B66"/>
    <w:rsid w:val="00A138E6"/>
    <w:rsid w:val="00A507F0"/>
    <w:rsid w:val="00AA5139"/>
    <w:rsid w:val="00AB2BA0"/>
    <w:rsid w:val="00AB71A0"/>
    <w:rsid w:val="00AF386A"/>
    <w:rsid w:val="00B327E1"/>
    <w:rsid w:val="00B47423"/>
    <w:rsid w:val="00B556E7"/>
    <w:rsid w:val="00B6412D"/>
    <w:rsid w:val="00B72AE8"/>
    <w:rsid w:val="00B75936"/>
    <w:rsid w:val="00BE00F3"/>
    <w:rsid w:val="00BE2B60"/>
    <w:rsid w:val="00BF22D0"/>
    <w:rsid w:val="00BF3D2A"/>
    <w:rsid w:val="00C565C0"/>
    <w:rsid w:val="00CA6CB1"/>
    <w:rsid w:val="00CC08AA"/>
    <w:rsid w:val="00CE2B1C"/>
    <w:rsid w:val="00D373E0"/>
    <w:rsid w:val="00D43CE9"/>
    <w:rsid w:val="00D77972"/>
    <w:rsid w:val="00D85480"/>
    <w:rsid w:val="00DC18FF"/>
    <w:rsid w:val="00DD4C40"/>
    <w:rsid w:val="00DD63D0"/>
    <w:rsid w:val="00E155A2"/>
    <w:rsid w:val="00E3797C"/>
    <w:rsid w:val="00E63863"/>
    <w:rsid w:val="00E65D7C"/>
    <w:rsid w:val="00E8085D"/>
    <w:rsid w:val="00E87344"/>
    <w:rsid w:val="00EC1852"/>
    <w:rsid w:val="00F5139D"/>
    <w:rsid w:val="00F85149"/>
    <w:rsid w:val="00F93C77"/>
    <w:rsid w:val="00F95C82"/>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paragraph" w:styleId="ListParagraph">
    <w:name w:val="List Paragraph"/>
    <w:basedOn w:val="Normal"/>
    <w:uiPriority w:val="34"/>
    <w:qFormat/>
    <w:rsid w:val="00CE2B1C"/>
    <w:pPr>
      <w:tabs>
        <w:tab w:val="clear" w:pos="6420"/>
      </w:tabs>
      <w:spacing w:before="0" w:after="200"/>
      <w:ind w:left="720"/>
      <w:contextualSpacing/>
    </w:pPr>
    <w:rPr>
      <w:rFonts w:asciiTheme="minorHAnsi" w:hAnsiTheme="minorHAnsi" w:cstheme="minorBidi"/>
    </w:rPr>
  </w:style>
  <w:style w:type="table" w:customStyle="1" w:styleId="TableGrid1">
    <w:name w:val="Table Grid1"/>
    <w:basedOn w:val="TableNormal"/>
    <w:next w:val="TableGrid"/>
    <w:uiPriority w:val="39"/>
    <w:rsid w:val="00CE2B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ZRVyQ3YcDNLdSP-1oEp04zgI1WEJ3dXdRc3EAVQb2yrGefHKI52R-IBNSWyfVsz3yWgfhQv33xtVbEZ4UIhF-icm-V45enO7WHJMG2JDaxQXYk2BwlX1wT9fD0V2pwIMMuZDxeydfNbes-eo4NZ-nd1T5vhY2EGX1WytROCsk9mWqerLuiQkpyAl38A4cILFy89jV4AWaBjZL1zlcOr25p-rGC5yKioG5bm0DkorKRHLACcu-BSAukFKQEFn23RixX4zlUheeVPnVCukh2GGds5UOucbEHfRW9NobrvMI_nT2I3229x5dA==&amp;c=zD9LzJ1_CvW0O82MUdC17fFvnmThwYBeMab019kQihkVc24ugvTnLg==&amp;ch=iNI9GozcmpnF4V5iyABRRSm9jWXn3k3jF_m5rEy5DCkW_QV9pf31uw==" TargetMode="External"/><Relationship Id="rId13" Type="http://schemas.openxmlformats.org/officeDocument/2006/relationships/hyperlink" Target="https://r20.rs6.net/tn.jsp?f=0018zlRSVwRip-W9du2qNb8t8DQigzqvyTcXC6M6kmKlZUHwwYLyFEnRR_9QVzzWbLsFIUx8tDbRiZAYUdGLkoFEoBzpidtQ8fdDYUhWhmzBzAqX6SQTZD9PK1MlqYEL0N2f9vekKaO1KG69n5Zbe1W4Prj6XqAAQ88xFsKtfRvQUgEgC9EE0wezzckolTmIk0jogSUurlbciS2qtsKBQeA_g==&amp;c=HZgC0bh8Jsovw8amMA2TFsB8Xa0tQXl9P7943FO6Vt_cJcox_MAZNw==&amp;ch=g4wBWx70_CYIyFvgLCMOhM9dqk-vdwKGWPTbBFbfIaD2Ukl8ihb5zA==" TargetMode="External"/><Relationship Id="rId18" Type="http://schemas.openxmlformats.org/officeDocument/2006/relationships/hyperlink" Target="https://r20.rs6.net/tn.jsp?f=0018zlRSVwRip-W9du2qNb8t8DQigzqvyTcXC6M6kmKlZUHwwYLyFEnRR_9QVzzWbLsc7T_tiUamrlJFX3d-0dWA5Yz6lkjXBwJRSa_MoUJn9ODj-p190_wQHepYZUsRrmzGVJPCVxtAPWk7idD55Hy0UxrFtmAL_Ij-3pkNpN6KMTtBZVfvSwNqvX2j-RKoNC5fvGZTi-rzG9Hku8qIACF2w==&amp;c=HZgC0bh8Jsovw8amMA2TFsB8Xa0tQXl9P7943FO6Vt_cJcox_MAZNw==&amp;ch=g4wBWx70_CYIyFvgLCMOhM9dqk-vdwKGWPTbBFbfIaD2Ukl8ihb5z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20.rs6.net/tn.jsp?f=001ZRVyQ3YcDNLdSP-1oEp04zgI1WEJ3dXdRc3EAVQb2yrGefHKI52R-CdB33R9gBarHHidNq88127wNhuTUZpEO68tBiDOLU7CXf9zN5W1H_eMA22GH_9zW1ddJW-qb9lL6Lg5dS2ysowe_kSW4uMZEk_c2LBn20xoQShdyrRE7eb2O0xniEdfXXOA4pMoIkPh&amp;c=zD9LzJ1_CvW0O82MUdC17fFvnmThwYBeMab019kQihkVc24ugvTnLg==&amp;ch=iNI9GozcmpnF4V5iyABRRSm9jWXn3k3jF_m5rEy5DCkW_QV9pf31uw==" TargetMode="External"/><Relationship Id="rId12" Type="http://schemas.openxmlformats.org/officeDocument/2006/relationships/hyperlink" Target="https://r20.rs6.net/tn.jsp?f=0018zlRSVwRip-W9du2qNb8t8DQigzqvyTcXC6M6kmKlZUHwwYLyFEnRR_9QVzzWbLsFIUx8tDbRiZAYUdGLkoFEoBzpidtQ8fdDYUhWhmzBzAqX6SQTZD9PK1MlqYEL0N2f9vekKaO1KG69n5Zbe1W4Prj6XqAAQ88xFsKtfRvQUgEgC9EE0wezzckolTmIk0jogSUurlbciS2qtsKBQeA_g==&amp;c=HZgC0bh8Jsovw8amMA2TFsB8Xa0tQXl9P7943FO6Vt_cJcox_MAZNw==&amp;ch=g4wBWx70_CYIyFvgLCMOhM9dqk-vdwKGWPTbBFbfIaD2Ukl8ihb5zA==" TargetMode="External"/><Relationship Id="rId17" Type="http://schemas.openxmlformats.org/officeDocument/2006/relationships/hyperlink" Target="https://r20.rs6.net/tn.jsp?f=0018zlRSVwRip-W9du2qNb8t8DQigzqvyTcXC6M6kmKlZUHwwYLyFEnRR_9QVzzWbLsg5ezzTUBqoODy6OzMvUJ3TywJ1T-KgYNG_HOirCtBxOycunLCriB-6VeC9Ld_fiCbQKLdTX9avAko9IU8f4qHbYDJFeWOcOeMWANzRA8GcE=&amp;c=HZgC0bh8Jsovw8amMA2TFsB8Xa0tQXl9P7943FO6Vt_cJcox_MAZNw==&amp;ch=g4wBWx70_CYIyFvgLCMOhM9dqk-vdwKGWPTbBFbfIaD2Ukl8ihb5zA==" TargetMode="External"/><Relationship Id="rId2" Type="http://schemas.openxmlformats.org/officeDocument/2006/relationships/styles" Target="styles.xml"/><Relationship Id="rId16" Type="http://schemas.openxmlformats.org/officeDocument/2006/relationships/hyperlink" Target="https://r20.rs6.net/tn.jsp?f=0018zlRSVwRip-W9du2qNb8t8DQigzqvyTcXC6M6kmKlZUHwwYLyFEnRR_9QVzzWbLsN7Yq3exK_YJpF0PVvS28SeLZJjOzYDzc0jjpAzWbarXC9JwlnoxotiG-P3tGvdMvcItAXojq_wuigeq3v70XHA3xdnYT0hAVur7ffg7mIQE=&amp;c=HZgC0bh8Jsovw8amMA2TFsB8Xa0tQXl9P7943FO6Vt_cJcox_MAZNw==&amp;ch=g4wBWx70_CYIyFvgLCMOhM9dqk-vdwKGWPTbBFbfIaD2Ukl8ihb5z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8zlRSVwRip-W9du2qNb8t8DQigzqvyTcXC6M6kmKlZUHwwYLyFEnRR_9QVzzWbLsxGRG9NPn6OJkLqLXFrRDfmpHYsaTmhX9Rr-_6aGIW-r2b-_JsU-tXDtyj8EuMzXdt9E1KkwnNUeMgFIRox3BDITtnm9hz09vCS_13vBWGAYfgb1nCbl3MK_wbyRGdFtU&amp;c=HZgC0bh8Jsovw8amMA2TFsB8Xa0tQXl9P7943FO6Vt_cJcox_MAZNw==&amp;ch=g4wBWx70_CYIyFvgLCMOhM9dqk-vdwKGWPTbBFbfIaD2Ukl8ihb5zA==" TargetMode="External"/><Relationship Id="rId5" Type="http://schemas.openxmlformats.org/officeDocument/2006/relationships/footnotes" Target="footnotes.xml"/><Relationship Id="rId15" Type="http://schemas.openxmlformats.org/officeDocument/2006/relationships/hyperlink" Target="https://r20.rs6.net/tn.jsp?f=0018zlRSVwRip-W9du2qNb8t8DQigzqvyTcXC6M6kmKlZUHwwYLyFEnRR_9QVzzWbLsv6qIZvgnjzWQu8PixvbIbEHJEE8s755wGeV9kin8aXrWuJHiDnc_E-WU2kYKqEX-XkgJbSFb7RMbfTT-CnCU-9gNm7XrKFWS3RvFpN2rQq4=&amp;c=HZgC0bh8Jsovw8amMA2TFsB8Xa0tQXl9P7943FO6Vt_cJcox_MAZNw==&amp;ch=g4wBWx70_CYIyFvgLCMOhM9dqk-vdwKGWPTbBFbfIaD2Ukl8ihb5zA==" TargetMode="External"/><Relationship Id="rId23" Type="http://schemas.openxmlformats.org/officeDocument/2006/relationships/theme" Target="theme/theme1.xml"/><Relationship Id="rId10" Type="http://schemas.openxmlformats.org/officeDocument/2006/relationships/hyperlink" Target="https://r20.rs6.net/tn.jsp?f=001ZRVyQ3YcDNLdSP-1oEp04zgI1WEJ3dXdRc3EAVQb2yrGefHKI52R-IBNSWyfVsz3-5fUtA4ihbJGzrSwNRk9U9xtwCKG-IKKkyLgTkUsrsQliIHSqwuS-W6ON470fuuZWEUg66E9_oZqHL2lijdvDrppoGvAsPa5EJYC9KKY7XwLDy-myMVobQ0np4oryW00F3gC9BKmAP0SWZLA08D6h8KJ7DyNOSW2Ir8AXMJ35oo=&amp;c=zD9LzJ1_CvW0O82MUdC17fFvnmThwYBeMab019kQihkVc24ugvTnLg==&amp;ch=iNI9GozcmpnF4V5iyABRRSm9jWXn3k3jF_m5rEy5DCkW_QV9pf31uw==" TargetMode="External"/><Relationship Id="rId19" Type="http://schemas.openxmlformats.org/officeDocument/2006/relationships/hyperlink" Target="mailto:ReynaT@thenationalcouncil.org" TargetMode="External"/><Relationship Id="rId4" Type="http://schemas.openxmlformats.org/officeDocument/2006/relationships/webSettings" Target="webSettings.xml"/><Relationship Id="rId9" Type="http://schemas.openxmlformats.org/officeDocument/2006/relationships/hyperlink" Target="https://r20.rs6.net/tn.jsp?f=001ZRVyQ3YcDNLdSP-1oEp04zgI1WEJ3dXdRc3EAVQb2yrGefHKI52R-IBNSWyfVsz3yWgfhQv33xtVbEZ4UIhF-icm-V45enO7WHJMG2JDaxQXYk2BwlX1wT9fD0V2pwIMMuZDxeydfNbes-eo4NZ-nd1T5vhY2EGX1WytROCsk9mWqerLuiQkpyAl38A4cILFy89jV4AWaBjZL1zlcOr25p-rGC5yKioG5bm0DkorKRHLACcu-BSAukFKQEFn23RixX4zlUheeVPnVCukh2GGds5UOucbEHfRW9NobrvMI_nT2I3229x5dA==&amp;c=zD9LzJ1_CvW0O82MUdC17fFvnmThwYBeMab019kQihkVc24ugvTnLg==&amp;ch=iNI9GozcmpnF4V5iyABRRSm9jWXn3k3jF_m5rEy5DCkW_QV9pf31uw==" TargetMode="External"/><Relationship Id="rId14" Type="http://schemas.openxmlformats.org/officeDocument/2006/relationships/hyperlink" Target="https://r20.rs6.net/tn.jsp?f=0018zlRSVwRip-W9du2qNb8t8DQigzqvyTcXC6M6kmKlZUHwwYLyFEnRWU9efRAY7mDI_IzrgjZ4vpRE1GzPngKDDNNe8ou30ArvhJU7Xnr54lpp8d09sdupum_A8w9XbEoLg_woYdmZHbLQLtO5rNLdjhB8m4q4HUKeXpQ90aTCYRsuyk0L8Jw_643h6482f34&amp;c=HZgC0bh8Jsovw8amMA2TFsB8Xa0tQXl9P7943FO6Vt_cJcox_MAZNw==&amp;ch=g4wBWx70_CYIyFvgLCMOhM9dqk-vdwKGWPTbBFbfIaD2Ukl8ihb5z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2</cp:revision>
  <dcterms:created xsi:type="dcterms:W3CDTF">2021-11-05T18:23:00Z</dcterms:created>
  <dcterms:modified xsi:type="dcterms:W3CDTF">2021-11-05T18:23:00Z</dcterms:modified>
</cp:coreProperties>
</file>