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0" w:type="dxa"/>
        <w:jc w:val="center"/>
        <w:shd w:val="clear" w:color="auto" w:fill="FFFFFF"/>
        <w:tblCellMar>
          <w:left w:w="0" w:type="dxa"/>
          <w:right w:w="0" w:type="dxa"/>
        </w:tblCellMar>
        <w:tblLook w:val="04A0" w:firstRow="1" w:lastRow="0" w:firstColumn="1" w:lastColumn="0" w:noHBand="0" w:noVBand="1"/>
      </w:tblPr>
      <w:tblGrid>
        <w:gridCol w:w="10620"/>
      </w:tblGrid>
      <w:tr w:rsidR="007A5E1B" w14:paraId="13E9315C" w14:textId="77777777" w:rsidTr="007A5E1B">
        <w:trPr>
          <w:jc w:val="center"/>
        </w:trPr>
        <w:tc>
          <w:tcPr>
            <w:tcW w:w="10620" w:type="dxa"/>
            <w:shd w:val="clear" w:color="auto" w:fill="FFFFFF"/>
            <w:hideMark/>
          </w:tcPr>
          <w:tbl>
            <w:tblPr>
              <w:tblW w:w="5000" w:type="pct"/>
              <w:tblCellMar>
                <w:left w:w="0" w:type="dxa"/>
                <w:right w:w="0" w:type="dxa"/>
              </w:tblCellMar>
              <w:tblLook w:val="04A0" w:firstRow="1" w:lastRow="0" w:firstColumn="1" w:lastColumn="0" w:noHBand="0" w:noVBand="1"/>
            </w:tblPr>
            <w:tblGrid>
              <w:gridCol w:w="10620"/>
            </w:tblGrid>
            <w:tr w:rsidR="007A5E1B" w14:paraId="2DD1C608" w14:textId="77777777">
              <w:tc>
                <w:tcPr>
                  <w:tcW w:w="0" w:type="auto"/>
                  <w:tcMar>
                    <w:top w:w="105" w:type="dxa"/>
                    <w:left w:w="225" w:type="dxa"/>
                    <w:bottom w:w="105" w:type="dxa"/>
                    <w:right w:w="225" w:type="dxa"/>
                  </w:tcMar>
                  <w:vAlign w:val="center"/>
                  <w:hideMark/>
                </w:tcPr>
                <w:p w14:paraId="5208C5BA" w14:textId="6E7DC76C" w:rsidR="007A5E1B" w:rsidRDefault="007A5E1B" w:rsidP="007A5E1B">
                  <w:pPr>
                    <w:jc w:val="center"/>
                  </w:pPr>
                  <w:r>
                    <w:rPr>
                      <w:noProof/>
                    </w:rPr>
                    <w:drawing>
                      <wp:inline distT="0" distB="0" distL="0" distR="0" wp14:anchorId="5075FE3A" wp14:editId="3FFD2B95">
                        <wp:extent cx="572389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3890" cy="1200150"/>
                                </a:xfrm>
                                <a:prstGeom prst="rect">
                                  <a:avLst/>
                                </a:prstGeom>
                                <a:noFill/>
                              </pic:spPr>
                            </pic:pic>
                          </a:graphicData>
                        </a:graphic>
                      </wp:inline>
                    </w:drawing>
                  </w:r>
                </w:p>
                <w:p w14:paraId="3CA1FF73" w14:textId="77777777" w:rsidR="007A5E1B" w:rsidRDefault="007A5E1B" w:rsidP="007A5E1B">
                  <w:pPr>
                    <w:pStyle w:val="NormalWeb"/>
                    <w:spacing w:line="260" w:lineRule="atLeast"/>
                    <w:ind w:right="132"/>
                    <w:jc w:val="right"/>
                    <w:rPr>
                      <w:rFonts w:ascii="Arial" w:hAnsi="Arial" w:cs="Arial"/>
                      <w:color w:val="000000"/>
                      <w:sz w:val="18"/>
                      <w:szCs w:val="18"/>
                    </w:rPr>
                  </w:pPr>
                  <w:hyperlink r:id="rId5" w:tgtFrame="_blank" w:tooltip="RESOURCES" w:history="1">
                    <w:r>
                      <w:rPr>
                        <w:rStyle w:val="Hyperlink"/>
                        <w:rFonts w:ascii="Arial" w:hAnsi="Arial" w:cs="Arial"/>
                        <w:b/>
                        <w:bCs/>
                        <w:color w:val="000000"/>
                        <w:sz w:val="18"/>
                        <w:szCs w:val="18"/>
                        <w:u w:val="none"/>
                      </w:rPr>
                      <w:t>RESOURCES</w:t>
                    </w:r>
                  </w:hyperlink>
                  <w:r>
                    <w:rPr>
                      <w:rFonts w:ascii="Arial" w:hAnsi="Arial" w:cs="Arial"/>
                      <w:b/>
                      <w:bCs/>
                      <w:color w:val="000000"/>
                      <w:sz w:val="18"/>
                      <w:szCs w:val="18"/>
                    </w:rPr>
                    <w:t xml:space="preserve"> •</w:t>
                  </w:r>
                  <w:hyperlink r:id="rId6" w:tgtFrame="_blank" w:tooltip="NEWS" w:history="1">
                    <w:r>
                      <w:rPr>
                        <w:rStyle w:val="Hyperlink"/>
                        <w:rFonts w:ascii="Arial" w:hAnsi="Arial" w:cs="Arial"/>
                        <w:b/>
                        <w:bCs/>
                        <w:color w:val="000000"/>
                        <w:sz w:val="18"/>
                        <w:szCs w:val="18"/>
                        <w:u w:val="none"/>
                      </w:rPr>
                      <w:t xml:space="preserve"> NEWS</w:t>
                    </w:r>
                  </w:hyperlink>
                  <w:r>
                    <w:rPr>
                      <w:rFonts w:ascii="Arial" w:hAnsi="Arial" w:cs="Arial"/>
                      <w:b/>
                      <w:bCs/>
                      <w:color w:val="000000"/>
                      <w:sz w:val="18"/>
                      <w:szCs w:val="18"/>
                    </w:rPr>
                    <w:t xml:space="preserve"> •</w:t>
                  </w:r>
                  <w:hyperlink r:id="rId7" w:tgtFrame="_blank" w:tooltip="NEWS" w:history="1">
                    <w:r>
                      <w:rPr>
                        <w:rStyle w:val="Hyperlink"/>
                        <w:rFonts w:ascii="Arial" w:hAnsi="Arial" w:cs="Arial"/>
                        <w:b/>
                        <w:bCs/>
                        <w:color w:val="000000"/>
                        <w:sz w:val="18"/>
                        <w:szCs w:val="18"/>
                        <w:u w:val="none"/>
                      </w:rPr>
                      <w:t xml:space="preserve"> </w:t>
                    </w:r>
                  </w:hyperlink>
                  <w:hyperlink r:id="rId8" w:history="1">
                    <w:r>
                      <w:rPr>
                        <w:rStyle w:val="Hyperlink"/>
                        <w:rFonts w:ascii="Arial" w:hAnsi="Arial" w:cs="Arial"/>
                        <w:b/>
                        <w:bCs/>
                        <w:color w:val="000000"/>
                        <w:sz w:val="18"/>
                        <w:szCs w:val="18"/>
                        <w:u w:val="none"/>
                      </w:rPr>
                      <w:t>EVENTS</w:t>
                    </w:r>
                  </w:hyperlink>
                  <w:r>
                    <w:rPr>
                      <w:rFonts w:ascii="Arial" w:hAnsi="Arial" w:cs="Arial"/>
                      <w:b/>
                      <w:bCs/>
                      <w:color w:val="000000"/>
                      <w:sz w:val="18"/>
                      <w:szCs w:val="18"/>
                    </w:rPr>
                    <w:t xml:space="preserve"> •</w:t>
                  </w:r>
                  <w:hyperlink r:id="rId9" w:tgtFrame="_blank" w:tooltip="NEWS" w:history="1">
                    <w:r>
                      <w:rPr>
                        <w:rStyle w:val="Hyperlink"/>
                        <w:rFonts w:ascii="Arial" w:hAnsi="Arial" w:cs="Arial"/>
                        <w:b/>
                        <w:bCs/>
                        <w:color w:val="000000"/>
                        <w:sz w:val="18"/>
                        <w:szCs w:val="18"/>
                        <w:u w:val="none"/>
                      </w:rPr>
                      <w:t xml:space="preserve"> </w:t>
                    </w:r>
                  </w:hyperlink>
                  <w:hyperlink r:id="rId10" w:tgtFrame="_blank" w:tooltip="PRESS ROOM" w:history="1">
                    <w:r>
                      <w:rPr>
                        <w:rStyle w:val="Hyperlink"/>
                        <w:rFonts w:ascii="Arial" w:hAnsi="Arial" w:cs="Arial"/>
                        <w:b/>
                        <w:bCs/>
                        <w:color w:val="000000"/>
                        <w:sz w:val="18"/>
                        <w:szCs w:val="18"/>
                        <w:u w:val="none"/>
                      </w:rPr>
                      <w:t>PRESS ROOM</w:t>
                    </w:r>
                  </w:hyperlink>
                </w:p>
              </w:tc>
            </w:tr>
          </w:tbl>
          <w:p w14:paraId="63A6DFEB" w14:textId="77777777" w:rsidR="007A5E1B" w:rsidRDefault="007A5E1B">
            <w:pPr>
              <w:rPr>
                <w:rFonts w:ascii="Times New Roman" w:eastAsia="Times New Roman" w:hAnsi="Times New Roman" w:cs="Times New Roman"/>
                <w:sz w:val="20"/>
                <w:szCs w:val="20"/>
              </w:rPr>
            </w:pPr>
          </w:p>
        </w:tc>
      </w:tr>
      <w:tr w:rsidR="007A5E1B" w14:paraId="6CEC8B10" w14:textId="77777777" w:rsidTr="007A5E1B">
        <w:trPr>
          <w:jc w:val="center"/>
        </w:trPr>
        <w:tc>
          <w:tcPr>
            <w:tcW w:w="10620" w:type="dxa"/>
            <w:shd w:val="clear" w:color="auto" w:fill="FFFFFF"/>
            <w:hideMark/>
          </w:tcPr>
          <w:tbl>
            <w:tblPr>
              <w:tblW w:w="5000" w:type="pct"/>
              <w:tblCellMar>
                <w:left w:w="0" w:type="dxa"/>
                <w:right w:w="0" w:type="dxa"/>
              </w:tblCellMar>
              <w:tblLook w:val="04A0" w:firstRow="1" w:lastRow="0" w:firstColumn="1" w:lastColumn="0" w:noHBand="0" w:noVBand="1"/>
            </w:tblPr>
            <w:tblGrid>
              <w:gridCol w:w="10620"/>
            </w:tblGrid>
            <w:tr w:rsidR="007A5E1B" w14:paraId="3F0A30BE" w14:textId="77777777">
              <w:trPr>
                <w:trHeight w:val="150"/>
              </w:trPr>
              <w:tc>
                <w:tcPr>
                  <w:tcW w:w="0" w:type="auto"/>
                  <w:vAlign w:val="center"/>
                  <w:hideMark/>
                </w:tcPr>
                <w:p w14:paraId="74175AFA" w14:textId="77777777" w:rsidR="007A5E1B" w:rsidRDefault="007A5E1B">
                  <w:pPr>
                    <w:rPr>
                      <w:sz w:val="8"/>
                      <w:szCs w:val="8"/>
                    </w:rPr>
                  </w:pPr>
                  <w:r>
                    <w:rPr>
                      <w:sz w:val="8"/>
                      <w:szCs w:val="8"/>
                    </w:rPr>
                    <w:t xml:space="preserve">    </w:t>
                  </w:r>
                </w:p>
              </w:tc>
            </w:tr>
          </w:tbl>
          <w:p w14:paraId="04FCAFAF" w14:textId="77777777" w:rsidR="007A5E1B" w:rsidRDefault="007A5E1B">
            <w:pPr>
              <w:rPr>
                <w:rFonts w:ascii="Times New Roman" w:eastAsia="Times New Roman" w:hAnsi="Times New Roman" w:cs="Times New Roman"/>
                <w:sz w:val="20"/>
                <w:szCs w:val="20"/>
              </w:rPr>
            </w:pPr>
          </w:p>
        </w:tc>
      </w:tr>
      <w:tr w:rsidR="007A5E1B" w14:paraId="31B02972" w14:textId="77777777" w:rsidTr="007A5E1B">
        <w:trPr>
          <w:jc w:val="center"/>
        </w:trPr>
        <w:tc>
          <w:tcPr>
            <w:tcW w:w="10620" w:type="dxa"/>
            <w:shd w:val="clear" w:color="auto" w:fill="FFFFFF"/>
            <w:hideMark/>
          </w:tcPr>
          <w:tbl>
            <w:tblPr>
              <w:tblW w:w="5000" w:type="pct"/>
              <w:tblCellMar>
                <w:left w:w="0" w:type="dxa"/>
                <w:right w:w="0" w:type="dxa"/>
              </w:tblCellMar>
              <w:tblLook w:val="04A0" w:firstRow="1" w:lastRow="0" w:firstColumn="1" w:lastColumn="0" w:noHBand="0" w:noVBand="1"/>
            </w:tblPr>
            <w:tblGrid>
              <w:gridCol w:w="10620"/>
            </w:tblGrid>
            <w:tr w:rsidR="007A5E1B" w14:paraId="13307E16" w14:textId="77777777">
              <w:trPr>
                <w:trHeight w:val="150"/>
              </w:trPr>
              <w:tc>
                <w:tcPr>
                  <w:tcW w:w="0" w:type="auto"/>
                  <w:vAlign w:val="center"/>
                  <w:hideMark/>
                </w:tcPr>
                <w:p w14:paraId="499FD162" w14:textId="77777777" w:rsidR="007A5E1B" w:rsidRDefault="007A5E1B">
                  <w:pPr>
                    <w:rPr>
                      <w:sz w:val="8"/>
                      <w:szCs w:val="8"/>
                    </w:rPr>
                  </w:pPr>
                  <w:r>
                    <w:rPr>
                      <w:sz w:val="8"/>
                      <w:szCs w:val="8"/>
                    </w:rPr>
                    <w:t xml:space="preserve">    </w:t>
                  </w:r>
                </w:p>
              </w:tc>
            </w:tr>
          </w:tbl>
          <w:p w14:paraId="4661D188" w14:textId="77777777" w:rsidR="007A5E1B" w:rsidRDefault="007A5E1B">
            <w:pPr>
              <w:rPr>
                <w:rFonts w:ascii="Times New Roman" w:eastAsia="Times New Roman" w:hAnsi="Times New Roman" w:cs="Times New Roman"/>
                <w:sz w:val="20"/>
                <w:szCs w:val="20"/>
              </w:rPr>
            </w:pPr>
          </w:p>
        </w:tc>
      </w:tr>
      <w:tr w:rsidR="007A5E1B" w14:paraId="0AC3F90A" w14:textId="77777777" w:rsidTr="007A5E1B">
        <w:trPr>
          <w:jc w:val="center"/>
        </w:trPr>
        <w:tc>
          <w:tcPr>
            <w:tcW w:w="10620" w:type="dxa"/>
            <w:shd w:val="clear" w:color="auto" w:fill="FFFFFF"/>
            <w:hideMark/>
          </w:tcPr>
          <w:tbl>
            <w:tblPr>
              <w:tblW w:w="5000" w:type="pct"/>
              <w:tblCellMar>
                <w:left w:w="0" w:type="dxa"/>
                <w:right w:w="0" w:type="dxa"/>
              </w:tblCellMar>
              <w:tblLook w:val="04A0" w:firstRow="1" w:lastRow="0" w:firstColumn="1" w:lastColumn="0" w:noHBand="0" w:noVBand="1"/>
            </w:tblPr>
            <w:tblGrid>
              <w:gridCol w:w="10620"/>
            </w:tblGrid>
            <w:tr w:rsidR="007A5E1B" w14:paraId="0D424798" w14:textId="77777777">
              <w:tc>
                <w:tcPr>
                  <w:tcW w:w="0" w:type="auto"/>
                  <w:tcMar>
                    <w:top w:w="105" w:type="dxa"/>
                    <w:left w:w="225" w:type="dxa"/>
                    <w:bottom w:w="105" w:type="dxa"/>
                    <w:right w:w="225" w:type="dxa"/>
                  </w:tcMar>
                  <w:vAlign w:val="center"/>
                  <w:hideMark/>
                </w:tcPr>
                <w:p w14:paraId="4E32C87D" w14:textId="77777777" w:rsidR="007A5E1B" w:rsidRDefault="007A5E1B">
                  <w:pPr>
                    <w:pStyle w:val="NormalWeb"/>
                    <w:spacing w:line="500" w:lineRule="atLeast"/>
                    <w:jc w:val="center"/>
                    <w:rPr>
                      <w:rFonts w:ascii="Arial" w:hAnsi="Arial" w:cs="Arial"/>
                      <w:color w:val="000000"/>
                      <w:sz w:val="18"/>
                      <w:szCs w:val="18"/>
                    </w:rPr>
                  </w:pPr>
                  <w:r>
                    <w:rPr>
                      <w:rFonts w:ascii="Arial" w:hAnsi="Arial" w:cs="Arial"/>
                      <w:b/>
                      <w:bCs/>
                      <w:color w:val="333333"/>
                      <w:sz w:val="44"/>
                      <w:szCs w:val="44"/>
                    </w:rPr>
                    <w:t>Game Changer: Implications of the </w:t>
                  </w:r>
                  <w:r>
                    <w:rPr>
                      <w:rFonts w:ascii="Arial" w:hAnsi="Arial" w:cs="Arial"/>
                      <w:b/>
                      <w:bCs/>
                      <w:i/>
                      <w:iCs/>
                      <w:color w:val="333333"/>
                      <w:sz w:val="44"/>
                      <w:szCs w:val="44"/>
                    </w:rPr>
                    <w:t>Wit v. United Behavioral Health</w:t>
                  </w:r>
                  <w:r>
                    <w:rPr>
                      <w:rFonts w:ascii="Arial" w:hAnsi="Arial" w:cs="Arial"/>
                      <w:b/>
                      <w:bCs/>
                      <w:color w:val="333333"/>
                      <w:sz w:val="44"/>
                      <w:szCs w:val="44"/>
                    </w:rPr>
                    <w:t> Ruling</w:t>
                  </w:r>
                </w:p>
              </w:tc>
            </w:tr>
          </w:tbl>
          <w:p w14:paraId="42C14013" w14:textId="77777777" w:rsidR="007A5E1B" w:rsidRDefault="007A5E1B">
            <w:pPr>
              <w:rPr>
                <w:rFonts w:ascii="Times New Roman" w:eastAsia="Times New Roman" w:hAnsi="Times New Roman" w:cs="Times New Roman"/>
                <w:sz w:val="20"/>
                <w:szCs w:val="20"/>
              </w:rPr>
            </w:pPr>
          </w:p>
        </w:tc>
      </w:tr>
      <w:tr w:rsidR="007A5E1B" w14:paraId="747E98CF" w14:textId="77777777" w:rsidTr="007A5E1B">
        <w:trPr>
          <w:jc w:val="center"/>
        </w:trPr>
        <w:tc>
          <w:tcPr>
            <w:tcW w:w="10620" w:type="dxa"/>
            <w:shd w:val="clear" w:color="auto" w:fill="FFFFFF"/>
            <w:hideMark/>
          </w:tcPr>
          <w:tbl>
            <w:tblPr>
              <w:tblW w:w="5000" w:type="pct"/>
              <w:tblCellMar>
                <w:left w:w="0" w:type="dxa"/>
                <w:right w:w="0" w:type="dxa"/>
              </w:tblCellMar>
              <w:tblLook w:val="04A0" w:firstRow="1" w:lastRow="0" w:firstColumn="1" w:lastColumn="0" w:noHBand="0" w:noVBand="1"/>
            </w:tblPr>
            <w:tblGrid>
              <w:gridCol w:w="10620"/>
            </w:tblGrid>
            <w:tr w:rsidR="007A5E1B" w14:paraId="74C128DE" w14:textId="77777777">
              <w:tc>
                <w:tcPr>
                  <w:tcW w:w="0" w:type="auto"/>
                  <w:tcMar>
                    <w:top w:w="225" w:type="dxa"/>
                    <w:left w:w="225" w:type="dxa"/>
                    <w:bottom w:w="105" w:type="dxa"/>
                    <w:right w:w="225" w:type="dxa"/>
                  </w:tcMar>
                  <w:vAlign w:val="center"/>
                  <w:hideMark/>
                </w:tcPr>
                <w:p w14:paraId="1B35A9D6" w14:textId="4D31B285" w:rsidR="007A5E1B" w:rsidRDefault="007A5E1B">
                  <w:pPr>
                    <w:pStyle w:val="NormalWeb"/>
                    <w:jc w:val="center"/>
                    <w:rPr>
                      <w:rFonts w:ascii="Arial" w:hAnsi="Arial" w:cs="Arial"/>
                      <w:color w:val="000000"/>
                      <w:sz w:val="18"/>
                      <w:szCs w:val="18"/>
                    </w:rPr>
                  </w:pPr>
                  <w:r>
                    <w:rPr>
                      <w:rFonts w:ascii="Arial" w:hAnsi="Arial" w:cs="Arial"/>
                      <w:noProof/>
                      <w:color w:val="000000"/>
                      <w:sz w:val="18"/>
                      <w:szCs w:val="18"/>
                    </w:rPr>
                    <w:drawing>
                      <wp:inline distT="0" distB="0" distL="0" distR="0" wp14:anchorId="43AF717F" wp14:editId="559EEE88">
                        <wp:extent cx="5242560" cy="2750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2560" cy="2750820"/>
                                </a:xfrm>
                                <a:prstGeom prst="rect">
                                  <a:avLst/>
                                </a:prstGeom>
                                <a:noFill/>
                                <a:ln>
                                  <a:noFill/>
                                </a:ln>
                              </pic:spPr>
                            </pic:pic>
                          </a:graphicData>
                        </a:graphic>
                      </wp:inline>
                    </w:drawing>
                  </w:r>
                </w:p>
              </w:tc>
            </w:tr>
          </w:tbl>
          <w:p w14:paraId="3149BA58" w14:textId="77777777" w:rsidR="007A5E1B" w:rsidRDefault="007A5E1B">
            <w:pPr>
              <w:rPr>
                <w:rFonts w:ascii="Times New Roman" w:eastAsia="Times New Roman" w:hAnsi="Times New Roman" w:cs="Times New Roman"/>
                <w:sz w:val="20"/>
                <w:szCs w:val="20"/>
              </w:rPr>
            </w:pPr>
          </w:p>
        </w:tc>
      </w:tr>
      <w:tr w:rsidR="007A5E1B" w14:paraId="492CF8B7" w14:textId="77777777" w:rsidTr="007A5E1B">
        <w:trPr>
          <w:jc w:val="center"/>
        </w:trPr>
        <w:tc>
          <w:tcPr>
            <w:tcW w:w="10620" w:type="dxa"/>
            <w:shd w:val="clear" w:color="auto" w:fill="FFFFFF"/>
            <w:hideMark/>
          </w:tcPr>
          <w:tbl>
            <w:tblPr>
              <w:tblW w:w="5000" w:type="pct"/>
              <w:tblCellMar>
                <w:left w:w="0" w:type="dxa"/>
                <w:right w:w="0" w:type="dxa"/>
              </w:tblCellMar>
              <w:tblLook w:val="04A0" w:firstRow="1" w:lastRow="0" w:firstColumn="1" w:lastColumn="0" w:noHBand="0" w:noVBand="1"/>
            </w:tblPr>
            <w:tblGrid>
              <w:gridCol w:w="10620"/>
            </w:tblGrid>
            <w:tr w:rsidR="007A5E1B" w14:paraId="55B529EC" w14:textId="77777777">
              <w:tc>
                <w:tcPr>
                  <w:tcW w:w="0" w:type="auto"/>
                  <w:tcMar>
                    <w:top w:w="225" w:type="dxa"/>
                    <w:left w:w="225" w:type="dxa"/>
                    <w:bottom w:w="105" w:type="dxa"/>
                    <w:right w:w="225" w:type="dxa"/>
                  </w:tcMar>
                  <w:vAlign w:val="center"/>
                  <w:hideMark/>
                </w:tcPr>
                <w:p w14:paraId="37B92B0C" w14:textId="77777777" w:rsidR="007A5E1B" w:rsidRDefault="007A5E1B">
                  <w:pPr>
                    <w:pStyle w:val="NormalWeb"/>
                    <w:spacing w:line="340" w:lineRule="atLeast"/>
                    <w:rPr>
                      <w:rFonts w:ascii="Arial" w:hAnsi="Arial" w:cs="Arial"/>
                      <w:color w:val="000000"/>
                      <w:sz w:val="18"/>
                      <w:szCs w:val="18"/>
                    </w:rPr>
                  </w:pPr>
                  <w:r>
                    <w:rPr>
                      <w:rFonts w:ascii="Arial" w:hAnsi="Arial" w:cs="Arial"/>
                      <w:color w:val="000000"/>
                      <w:sz w:val="26"/>
                      <w:szCs w:val="26"/>
                    </w:rPr>
                    <w:t xml:space="preserve">A federal court recently ruled that United Behavioral Health (UBH), the largest managed behavioral health care company in the country, must reprocess nearly 67,000 originally denied mental health and substance use disorder benefit claims using medical necessity criteria developed by nonprofit clinical specialty associations—among other mandatory actions. This is a major step forward in stopping discrimination against those with mental health and substance use disorders. Wrongful denials of care coverage have not only been detrimental to individuals across the country, often forcing families to take drastic measures to cover treatment costs out of pocket or forgo care altogether, they have also become a burden on society. Untreated mental health and substance use disorders contribute to historic rates of suicides and overdoses, in addition to homelessness and violent encounters with the criminal justice system. As the nation struggles to cope amid a myriad of challenges in 2020—the COVID-19 pandemic, racial injustices, political divisiveness, and more—better access to mental health and addiction treatment is critical. How can we ensure the lessons of </w:t>
                  </w:r>
                  <w:r>
                    <w:rPr>
                      <w:rFonts w:ascii="Arial" w:hAnsi="Arial" w:cs="Arial"/>
                      <w:i/>
                      <w:iCs/>
                      <w:color w:val="000000"/>
                      <w:sz w:val="26"/>
                      <w:szCs w:val="26"/>
                    </w:rPr>
                    <w:t>Wit</w:t>
                  </w:r>
                  <w:r>
                    <w:rPr>
                      <w:rFonts w:ascii="Arial" w:hAnsi="Arial" w:cs="Arial"/>
                      <w:color w:val="000000"/>
                      <w:sz w:val="26"/>
                      <w:szCs w:val="26"/>
                    </w:rPr>
                    <w:t xml:space="preserve"> extend beyond the courtroom into federal and state policy, health care coverage, and more? Join three experts in this free webinar to unpack ramifications of the landmark ruling and explore </w:t>
                  </w:r>
                  <w:proofErr w:type="gramStart"/>
                  <w:r>
                    <w:rPr>
                      <w:rFonts w:ascii="Arial" w:hAnsi="Arial" w:cs="Arial"/>
                      <w:color w:val="000000"/>
                      <w:sz w:val="26"/>
                      <w:szCs w:val="26"/>
                    </w:rPr>
                    <w:t>what’s</w:t>
                  </w:r>
                  <w:proofErr w:type="gramEnd"/>
                  <w:r>
                    <w:rPr>
                      <w:rFonts w:ascii="Arial" w:hAnsi="Arial" w:cs="Arial"/>
                      <w:color w:val="000000"/>
                      <w:sz w:val="26"/>
                      <w:szCs w:val="26"/>
                    </w:rPr>
                    <w:t xml:space="preserve"> on the horizon.</w:t>
                  </w:r>
                </w:p>
              </w:tc>
            </w:tr>
          </w:tbl>
          <w:p w14:paraId="22163647" w14:textId="77777777" w:rsidR="007A5E1B" w:rsidRDefault="007A5E1B">
            <w:pPr>
              <w:rPr>
                <w:rFonts w:ascii="Times New Roman" w:eastAsia="Times New Roman" w:hAnsi="Times New Roman" w:cs="Times New Roman"/>
                <w:sz w:val="20"/>
                <w:szCs w:val="20"/>
              </w:rPr>
            </w:pPr>
          </w:p>
        </w:tc>
      </w:tr>
    </w:tbl>
    <w:p w14:paraId="5B3F8B20" w14:textId="5B9AF7AF" w:rsidR="007A5E1B" w:rsidRDefault="007A5E1B"/>
    <w:tbl>
      <w:tblPr>
        <w:tblW w:w="10620" w:type="dxa"/>
        <w:jc w:val="center"/>
        <w:shd w:val="clear" w:color="auto" w:fill="FFFFFF"/>
        <w:tblCellMar>
          <w:left w:w="0" w:type="dxa"/>
          <w:right w:w="0" w:type="dxa"/>
        </w:tblCellMar>
        <w:tblLook w:val="04A0" w:firstRow="1" w:lastRow="0" w:firstColumn="1" w:lastColumn="0" w:noHBand="0" w:noVBand="1"/>
      </w:tblPr>
      <w:tblGrid>
        <w:gridCol w:w="10620"/>
      </w:tblGrid>
      <w:tr w:rsidR="007A5E1B" w14:paraId="73A4CC6F" w14:textId="77777777" w:rsidTr="007A5E1B">
        <w:trPr>
          <w:jc w:val="center"/>
        </w:trPr>
        <w:tc>
          <w:tcPr>
            <w:tcW w:w="10620" w:type="dxa"/>
            <w:shd w:val="clear" w:color="auto" w:fill="FFFFFF"/>
            <w:hideMark/>
          </w:tcPr>
          <w:tbl>
            <w:tblPr>
              <w:tblW w:w="5000" w:type="pct"/>
              <w:tblCellMar>
                <w:left w:w="0" w:type="dxa"/>
                <w:right w:w="0" w:type="dxa"/>
              </w:tblCellMar>
              <w:tblLook w:val="04A0" w:firstRow="1" w:lastRow="0" w:firstColumn="1" w:lastColumn="0" w:noHBand="0" w:noVBand="1"/>
            </w:tblPr>
            <w:tblGrid>
              <w:gridCol w:w="10620"/>
            </w:tblGrid>
            <w:tr w:rsidR="007A5E1B" w14:paraId="64A6AFB0" w14:textId="77777777">
              <w:tc>
                <w:tcPr>
                  <w:tcW w:w="0" w:type="auto"/>
                  <w:tcMar>
                    <w:top w:w="105" w:type="dxa"/>
                    <w:left w:w="225" w:type="dxa"/>
                    <w:bottom w:w="105" w:type="dxa"/>
                    <w:right w:w="225" w:type="dxa"/>
                  </w:tcMar>
                  <w:vAlign w:val="center"/>
                </w:tcPr>
                <w:p w14:paraId="5D4E63CA" w14:textId="61E2F78B" w:rsidR="007A5E1B" w:rsidRDefault="007A5E1B" w:rsidP="007A5E1B">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6"/>
                      <w:szCs w:val="26"/>
                      <w:u w:val="single"/>
                    </w:rPr>
                    <w:t>Date/Time</w:t>
                  </w:r>
                </w:p>
                <w:p w14:paraId="23571806" w14:textId="77777777" w:rsidR="007A5E1B" w:rsidRDefault="007A5E1B" w:rsidP="007A5E1B">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6"/>
                      <w:szCs w:val="26"/>
                    </w:rPr>
                    <w:t>November 23, 12-1pm ET</w:t>
                  </w:r>
                </w:p>
                <w:p w14:paraId="56994C16" w14:textId="77777777" w:rsidR="007A5E1B" w:rsidRDefault="007A5E1B" w:rsidP="007A5E1B">
                  <w:pPr>
                    <w:pStyle w:val="NormalWeb"/>
                    <w:spacing w:before="0" w:beforeAutospacing="0" w:after="0" w:afterAutospacing="0"/>
                    <w:jc w:val="center"/>
                    <w:rPr>
                      <w:rFonts w:ascii="Arial" w:hAnsi="Arial" w:cs="Arial"/>
                      <w:b/>
                      <w:bCs/>
                      <w:color w:val="000000"/>
                      <w:sz w:val="26"/>
                      <w:szCs w:val="26"/>
                      <w:u w:val="single"/>
                    </w:rPr>
                  </w:pPr>
                </w:p>
                <w:p w14:paraId="68ED1D6B" w14:textId="2FC93F97" w:rsidR="007A5E1B" w:rsidRDefault="007A5E1B" w:rsidP="007A5E1B">
                  <w:pPr>
                    <w:pStyle w:val="NormalWeb"/>
                    <w:spacing w:before="0" w:beforeAutospacing="0" w:after="0" w:afterAutospacing="0"/>
                    <w:jc w:val="center"/>
                    <w:rPr>
                      <w:rFonts w:ascii="Arial" w:hAnsi="Arial" w:cs="Arial"/>
                      <w:b/>
                      <w:bCs/>
                      <w:color w:val="000000"/>
                      <w:sz w:val="26"/>
                      <w:szCs w:val="26"/>
                      <w:u w:val="single"/>
                    </w:rPr>
                  </w:pPr>
                  <w:r>
                    <w:rPr>
                      <w:rFonts w:ascii="Arial" w:hAnsi="Arial" w:cs="Arial"/>
                      <w:b/>
                      <w:bCs/>
                      <w:color w:val="000000"/>
                      <w:sz w:val="26"/>
                      <w:szCs w:val="26"/>
                      <w:u w:val="single"/>
                    </w:rPr>
                    <w:t>Moderator</w:t>
                  </w:r>
                </w:p>
                <w:p w14:paraId="5C5FB794" w14:textId="6DCCE7FF" w:rsidR="007A5E1B" w:rsidRDefault="007A5E1B" w:rsidP="007A5E1B">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6"/>
                      <w:szCs w:val="26"/>
                      <w:u w:val="single"/>
                    </w:rPr>
                    <w:br/>
                  </w:r>
                  <w:r>
                    <w:rPr>
                      <w:rFonts w:ascii="Arial" w:hAnsi="Arial" w:cs="Arial"/>
                      <w:color w:val="000000"/>
                      <w:sz w:val="26"/>
                      <w:szCs w:val="26"/>
                    </w:rPr>
                    <w:t>David Lloyd</w:t>
                  </w:r>
                </w:p>
                <w:p w14:paraId="5F129316" w14:textId="6B8E6E68" w:rsidR="007A5E1B" w:rsidRDefault="007A5E1B" w:rsidP="007A5E1B">
                  <w:pPr>
                    <w:pStyle w:val="NormalWeb"/>
                    <w:spacing w:before="0" w:beforeAutospacing="0" w:after="0" w:afterAutospacing="0"/>
                    <w:jc w:val="center"/>
                    <w:rPr>
                      <w:rFonts w:ascii="Arial" w:hAnsi="Arial" w:cs="Arial"/>
                      <w:color w:val="000000"/>
                      <w:sz w:val="26"/>
                      <w:szCs w:val="26"/>
                    </w:rPr>
                  </w:pPr>
                  <w:r>
                    <w:rPr>
                      <w:rFonts w:ascii="Arial" w:hAnsi="Arial" w:cs="Arial"/>
                      <w:color w:val="000000"/>
                      <w:sz w:val="26"/>
                      <w:szCs w:val="26"/>
                    </w:rPr>
                    <w:t>Senior Policy Advisor, The Kennedy Forum</w:t>
                  </w:r>
                </w:p>
                <w:p w14:paraId="522E7222" w14:textId="77777777" w:rsidR="007A5E1B" w:rsidRDefault="007A5E1B" w:rsidP="007A5E1B">
                  <w:pPr>
                    <w:pStyle w:val="NormalWeb"/>
                    <w:spacing w:before="0" w:beforeAutospacing="0" w:after="0" w:afterAutospacing="0"/>
                    <w:jc w:val="center"/>
                    <w:rPr>
                      <w:rFonts w:ascii="Arial" w:hAnsi="Arial" w:cs="Arial"/>
                      <w:color w:val="000000"/>
                      <w:sz w:val="26"/>
                      <w:szCs w:val="26"/>
                    </w:rPr>
                  </w:pPr>
                </w:p>
                <w:p w14:paraId="194100EB" w14:textId="77777777" w:rsidR="007A5E1B" w:rsidRDefault="007A5E1B" w:rsidP="007A5E1B">
                  <w:pPr>
                    <w:pStyle w:val="NormalWeb"/>
                    <w:spacing w:before="0" w:beforeAutospacing="0" w:after="0" w:afterAutospacing="0"/>
                    <w:jc w:val="center"/>
                    <w:rPr>
                      <w:rFonts w:ascii="Arial" w:hAnsi="Arial" w:cs="Arial"/>
                      <w:color w:val="000000"/>
                      <w:sz w:val="18"/>
                      <w:szCs w:val="18"/>
                    </w:rPr>
                  </w:pPr>
                </w:p>
                <w:p w14:paraId="74E2992B" w14:textId="3DFD0130" w:rsidR="007A5E1B" w:rsidRDefault="007A5E1B" w:rsidP="007A5E1B">
                  <w:pPr>
                    <w:pStyle w:val="NormalWeb"/>
                    <w:spacing w:before="0" w:beforeAutospacing="0" w:after="0" w:afterAutospacing="0"/>
                    <w:jc w:val="center"/>
                    <w:rPr>
                      <w:rFonts w:ascii="Arial" w:hAnsi="Arial" w:cs="Arial"/>
                      <w:b/>
                      <w:bCs/>
                      <w:color w:val="000000"/>
                      <w:sz w:val="26"/>
                      <w:szCs w:val="26"/>
                      <w:u w:val="single"/>
                    </w:rPr>
                  </w:pPr>
                  <w:r>
                    <w:rPr>
                      <w:rFonts w:ascii="Arial" w:hAnsi="Arial" w:cs="Arial"/>
                      <w:b/>
                      <w:bCs/>
                      <w:color w:val="000000"/>
                      <w:sz w:val="26"/>
                      <w:szCs w:val="26"/>
                      <w:u w:val="single"/>
                    </w:rPr>
                    <w:t>Panelists</w:t>
                  </w:r>
                </w:p>
                <w:p w14:paraId="2E236E46" w14:textId="77777777" w:rsidR="007A5E1B" w:rsidRPr="007A5E1B" w:rsidRDefault="007A5E1B" w:rsidP="007A5E1B">
                  <w:pPr>
                    <w:pStyle w:val="NormalWeb"/>
                    <w:spacing w:before="0" w:beforeAutospacing="0" w:after="0" w:afterAutospacing="0"/>
                    <w:jc w:val="center"/>
                    <w:rPr>
                      <w:rFonts w:ascii="Arial" w:hAnsi="Arial" w:cs="Arial"/>
                      <w:b/>
                      <w:bCs/>
                      <w:color w:val="000000"/>
                      <w:sz w:val="26"/>
                      <w:szCs w:val="26"/>
                      <w:u w:val="single"/>
                    </w:rPr>
                  </w:pPr>
                </w:p>
                <w:p w14:paraId="66E8CD3C" w14:textId="124C526C" w:rsidR="007A5E1B" w:rsidRPr="007A5E1B" w:rsidRDefault="007A5E1B" w:rsidP="007A5E1B">
                  <w:pPr>
                    <w:pStyle w:val="NormalWeb"/>
                    <w:spacing w:before="0" w:beforeAutospacing="0" w:after="0" w:afterAutospacing="0"/>
                    <w:jc w:val="center"/>
                    <w:rPr>
                      <w:rFonts w:ascii="Arial" w:hAnsi="Arial" w:cs="Arial"/>
                      <w:sz w:val="18"/>
                      <w:szCs w:val="18"/>
                    </w:rPr>
                  </w:pPr>
                  <w:r w:rsidRPr="007A5E1B">
                    <w:rPr>
                      <w:rFonts w:ascii="Arial" w:hAnsi="Arial" w:cs="Arial"/>
                      <w:sz w:val="26"/>
                      <w:szCs w:val="26"/>
                    </w:rPr>
                    <w:t>Former U.S. Rep. Patrick J. Kennedy</w:t>
                  </w:r>
                </w:p>
                <w:p w14:paraId="0C16616C" w14:textId="77777777" w:rsidR="007A5E1B" w:rsidRPr="007A5E1B" w:rsidRDefault="007A5E1B" w:rsidP="007A5E1B">
                  <w:pPr>
                    <w:jc w:val="center"/>
                    <w:rPr>
                      <w:rFonts w:ascii="Arial" w:hAnsi="Arial" w:cs="Arial"/>
                      <w:sz w:val="18"/>
                      <w:szCs w:val="18"/>
                    </w:rPr>
                  </w:pPr>
                  <w:r w:rsidRPr="007A5E1B">
                    <w:rPr>
                      <w:rFonts w:ascii="Arial" w:hAnsi="Arial" w:cs="Arial"/>
                      <w:sz w:val="26"/>
                      <w:szCs w:val="26"/>
                    </w:rPr>
                    <w:t>Founder, The Kennedy Forum</w:t>
                  </w:r>
                </w:p>
                <w:p w14:paraId="51A431EB" w14:textId="204A331F" w:rsidR="007A5E1B" w:rsidRPr="007A5E1B" w:rsidRDefault="007A5E1B" w:rsidP="007A5E1B">
                  <w:pPr>
                    <w:jc w:val="center"/>
                    <w:rPr>
                      <w:rFonts w:ascii="Arial" w:hAnsi="Arial" w:cs="Arial"/>
                      <w:sz w:val="18"/>
                      <w:szCs w:val="18"/>
                    </w:rPr>
                  </w:pPr>
                </w:p>
                <w:p w14:paraId="231BDB5D" w14:textId="77777777" w:rsidR="007A5E1B" w:rsidRPr="007A5E1B" w:rsidRDefault="007A5E1B" w:rsidP="007A5E1B">
                  <w:pPr>
                    <w:jc w:val="center"/>
                    <w:rPr>
                      <w:rFonts w:ascii="Arial" w:hAnsi="Arial" w:cs="Arial"/>
                      <w:sz w:val="18"/>
                      <w:szCs w:val="18"/>
                    </w:rPr>
                  </w:pPr>
                  <w:r w:rsidRPr="007A5E1B">
                    <w:rPr>
                      <w:rFonts w:ascii="Arial" w:hAnsi="Arial" w:cs="Arial"/>
                      <w:sz w:val="26"/>
                      <w:szCs w:val="26"/>
                    </w:rPr>
                    <w:t>D. Brian Hufford</w:t>
                  </w:r>
                </w:p>
                <w:p w14:paraId="7EBB5433" w14:textId="77777777" w:rsidR="007A5E1B" w:rsidRPr="007A5E1B" w:rsidRDefault="007A5E1B" w:rsidP="007A5E1B">
                  <w:pPr>
                    <w:jc w:val="center"/>
                    <w:rPr>
                      <w:rFonts w:ascii="Arial" w:hAnsi="Arial" w:cs="Arial"/>
                      <w:sz w:val="18"/>
                      <w:szCs w:val="18"/>
                    </w:rPr>
                  </w:pPr>
                  <w:r w:rsidRPr="007A5E1B">
                    <w:rPr>
                      <w:rFonts w:ascii="Arial" w:hAnsi="Arial" w:cs="Arial"/>
                      <w:sz w:val="26"/>
                      <w:szCs w:val="26"/>
                    </w:rPr>
                    <w:t>Partner, Zuckerman Spaeder LLP</w:t>
                  </w:r>
                </w:p>
                <w:p w14:paraId="739A2B6D" w14:textId="77777777" w:rsidR="007A5E1B" w:rsidRPr="007A5E1B" w:rsidRDefault="007A5E1B" w:rsidP="007A5E1B">
                  <w:pPr>
                    <w:jc w:val="center"/>
                    <w:rPr>
                      <w:rFonts w:ascii="Arial" w:hAnsi="Arial" w:cs="Arial"/>
                      <w:sz w:val="18"/>
                      <w:szCs w:val="18"/>
                    </w:rPr>
                  </w:pPr>
                  <w:r w:rsidRPr="007A5E1B">
                    <w:rPr>
                      <w:rFonts w:ascii="Arial" w:hAnsi="Arial" w:cs="Arial"/>
                      <w:sz w:val="26"/>
                      <w:szCs w:val="26"/>
                    </w:rPr>
                    <w:t>Plaintiffs' Counsel, </w:t>
                  </w:r>
                  <w:r w:rsidRPr="007A5E1B">
                    <w:rPr>
                      <w:rFonts w:ascii="Arial" w:hAnsi="Arial" w:cs="Arial"/>
                      <w:i/>
                      <w:iCs/>
                      <w:sz w:val="26"/>
                      <w:szCs w:val="26"/>
                    </w:rPr>
                    <w:t>Wit v. United Behavioral Health</w:t>
                  </w:r>
                </w:p>
                <w:p w14:paraId="7C80DB05" w14:textId="77777777" w:rsidR="007A5E1B" w:rsidRPr="007A5E1B" w:rsidRDefault="007A5E1B" w:rsidP="007A5E1B">
                  <w:pPr>
                    <w:jc w:val="center"/>
                    <w:rPr>
                      <w:rFonts w:ascii="Arial" w:hAnsi="Arial" w:cs="Arial"/>
                      <w:sz w:val="18"/>
                      <w:szCs w:val="18"/>
                    </w:rPr>
                  </w:pPr>
                </w:p>
                <w:p w14:paraId="765F5AB4" w14:textId="77777777" w:rsidR="007A5E1B" w:rsidRPr="007A5E1B" w:rsidRDefault="007A5E1B" w:rsidP="007A5E1B">
                  <w:pPr>
                    <w:jc w:val="center"/>
                    <w:rPr>
                      <w:rFonts w:ascii="Arial" w:hAnsi="Arial" w:cs="Arial"/>
                      <w:b/>
                      <w:bCs/>
                      <w:sz w:val="18"/>
                      <w:szCs w:val="18"/>
                    </w:rPr>
                  </w:pPr>
                  <w:r w:rsidRPr="007A5E1B">
                    <w:rPr>
                      <w:rFonts w:ascii="Arial" w:hAnsi="Arial" w:cs="Arial"/>
                      <w:b/>
                      <w:bCs/>
                      <w:sz w:val="26"/>
                      <w:szCs w:val="26"/>
                    </w:rPr>
                    <w:t>Joe Parks, M.D.</w:t>
                  </w:r>
                </w:p>
                <w:p w14:paraId="258EE4B0" w14:textId="77777777" w:rsidR="007A5E1B" w:rsidRPr="007A5E1B" w:rsidRDefault="007A5E1B" w:rsidP="007A5E1B">
                  <w:pPr>
                    <w:jc w:val="center"/>
                    <w:rPr>
                      <w:rFonts w:ascii="Arial" w:hAnsi="Arial" w:cs="Arial"/>
                      <w:sz w:val="26"/>
                      <w:szCs w:val="26"/>
                    </w:rPr>
                  </w:pPr>
                  <w:r w:rsidRPr="007A5E1B">
                    <w:rPr>
                      <w:rFonts w:ascii="Arial" w:hAnsi="Arial" w:cs="Arial"/>
                      <w:sz w:val="26"/>
                      <w:szCs w:val="26"/>
                    </w:rPr>
                    <w:t>Medical Director, National Council for Behavioral Health </w:t>
                  </w:r>
                </w:p>
                <w:p w14:paraId="4327B063" w14:textId="07716DD3" w:rsidR="007A5E1B" w:rsidRDefault="007A5E1B" w:rsidP="007A5E1B">
                  <w:pPr>
                    <w:jc w:val="center"/>
                    <w:rPr>
                      <w:sz w:val="18"/>
                      <w:szCs w:val="18"/>
                    </w:rPr>
                  </w:pPr>
                </w:p>
              </w:tc>
            </w:tr>
          </w:tbl>
          <w:p w14:paraId="69AED817" w14:textId="77777777" w:rsidR="007A5E1B" w:rsidRDefault="007A5E1B">
            <w:pPr>
              <w:rPr>
                <w:rFonts w:ascii="Times New Roman" w:eastAsia="Times New Roman" w:hAnsi="Times New Roman" w:cs="Times New Roman"/>
                <w:sz w:val="20"/>
                <w:szCs w:val="20"/>
              </w:rPr>
            </w:pPr>
          </w:p>
        </w:tc>
      </w:tr>
      <w:tr w:rsidR="007A5E1B" w14:paraId="7F37621D" w14:textId="77777777" w:rsidTr="007A5E1B">
        <w:trPr>
          <w:jc w:val="center"/>
        </w:trPr>
        <w:tc>
          <w:tcPr>
            <w:tcW w:w="10620" w:type="dxa"/>
            <w:shd w:val="clear" w:color="auto" w:fill="FFFFFF"/>
            <w:hideMark/>
          </w:tcPr>
          <w:tbl>
            <w:tblPr>
              <w:tblW w:w="5000" w:type="pct"/>
              <w:tblCellMar>
                <w:left w:w="0" w:type="dxa"/>
                <w:right w:w="0" w:type="dxa"/>
              </w:tblCellMar>
              <w:tblLook w:val="04A0" w:firstRow="1" w:lastRow="0" w:firstColumn="1" w:lastColumn="0" w:noHBand="0" w:noVBand="1"/>
            </w:tblPr>
            <w:tblGrid>
              <w:gridCol w:w="10620"/>
            </w:tblGrid>
            <w:tr w:rsidR="007A5E1B" w14:paraId="7D25241B" w14:textId="77777777">
              <w:tc>
                <w:tcPr>
                  <w:tcW w:w="0" w:type="auto"/>
                  <w:tcMar>
                    <w:top w:w="105" w:type="dxa"/>
                    <w:left w:w="225" w:type="dxa"/>
                    <w:bottom w:w="105" w:type="dxa"/>
                    <w:right w:w="225"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958"/>
                  </w:tblGrid>
                  <w:tr w:rsidR="007A5E1B" w14:paraId="049B021C" w14:textId="77777777">
                    <w:trPr>
                      <w:tblCellSpacing w:w="0" w:type="dxa"/>
                      <w:jc w:val="center"/>
                    </w:trPr>
                    <w:tc>
                      <w:tcPr>
                        <w:tcW w:w="0" w:type="auto"/>
                        <w:vAlign w:val="center"/>
                        <w:hideMark/>
                      </w:tcPr>
                      <w:p w14:paraId="1443B59D" w14:textId="77777777" w:rsidR="007A5E1B" w:rsidRDefault="007A5E1B">
                        <w:pPr>
                          <w:jc w:val="center"/>
                          <w:rPr>
                            <w:rFonts w:ascii="Arial" w:hAnsi="Arial" w:cs="Arial"/>
                            <w:b/>
                            <w:bCs/>
                            <w:color w:val="000000"/>
                            <w:sz w:val="18"/>
                            <w:szCs w:val="18"/>
                          </w:rPr>
                        </w:pPr>
                        <w:hyperlink r:id="rId12" w:tgtFrame="_blank" w:history="1">
                          <w:r>
                            <w:rPr>
                              <w:rStyle w:val="Hyperlink"/>
                              <w:rFonts w:ascii="Arial" w:hAnsi="Arial" w:cs="Arial"/>
                              <w:b/>
                              <w:bCs/>
                              <w:color w:val="000000"/>
                              <w:sz w:val="30"/>
                              <w:szCs w:val="30"/>
                              <w:u w:val="none"/>
                              <w:bdr w:val="single" w:sz="8" w:space="0" w:color="FFFFFF" w:frame="1"/>
                              <w:shd w:val="clear" w:color="auto" w:fill="FFE257"/>
                            </w:rPr>
                            <w:t xml:space="preserve">Register Now </w:t>
                          </w:r>
                        </w:hyperlink>
                      </w:p>
                    </w:tc>
                  </w:tr>
                </w:tbl>
                <w:p w14:paraId="49AC96E1" w14:textId="77777777" w:rsidR="007A5E1B" w:rsidRDefault="007A5E1B">
                  <w:pPr>
                    <w:jc w:val="center"/>
                    <w:rPr>
                      <w:rFonts w:ascii="Times New Roman" w:eastAsia="Times New Roman" w:hAnsi="Times New Roman" w:cs="Times New Roman"/>
                      <w:sz w:val="20"/>
                      <w:szCs w:val="20"/>
                    </w:rPr>
                  </w:pPr>
                </w:p>
              </w:tc>
            </w:tr>
          </w:tbl>
          <w:p w14:paraId="14E70F01" w14:textId="77777777" w:rsidR="007A5E1B" w:rsidRDefault="007A5E1B">
            <w:pPr>
              <w:rPr>
                <w:rFonts w:ascii="Times New Roman" w:eastAsia="Times New Roman" w:hAnsi="Times New Roman" w:cs="Times New Roman"/>
                <w:sz w:val="20"/>
                <w:szCs w:val="20"/>
              </w:rPr>
            </w:pPr>
          </w:p>
        </w:tc>
      </w:tr>
      <w:tr w:rsidR="007A5E1B" w14:paraId="21C04BCE" w14:textId="77777777" w:rsidTr="007A5E1B">
        <w:trPr>
          <w:jc w:val="center"/>
        </w:trPr>
        <w:tc>
          <w:tcPr>
            <w:tcW w:w="10620" w:type="dxa"/>
            <w:shd w:val="clear" w:color="auto" w:fill="FFFFFF"/>
            <w:hideMark/>
          </w:tcPr>
          <w:tbl>
            <w:tblPr>
              <w:tblW w:w="5000" w:type="pct"/>
              <w:tblCellMar>
                <w:left w:w="0" w:type="dxa"/>
                <w:right w:w="0" w:type="dxa"/>
              </w:tblCellMar>
              <w:tblLook w:val="04A0" w:firstRow="1" w:lastRow="0" w:firstColumn="1" w:lastColumn="0" w:noHBand="0" w:noVBand="1"/>
            </w:tblPr>
            <w:tblGrid>
              <w:gridCol w:w="10620"/>
            </w:tblGrid>
            <w:tr w:rsidR="007A5E1B" w14:paraId="698115C7" w14:textId="77777777">
              <w:trPr>
                <w:trHeight w:val="150"/>
              </w:trPr>
              <w:tc>
                <w:tcPr>
                  <w:tcW w:w="0" w:type="auto"/>
                  <w:vAlign w:val="center"/>
                  <w:hideMark/>
                </w:tcPr>
                <w:p w14:paraId="0ABC010D" w14:textId="77777777" w:rsidR="007A5E1B" w:rsidRDefault="007A5E1B">
                  <w:pPr>
                    <w:rPr>
                      <w:sz w:val="8"/>
                      <w:szCs w:val="8"/>
                    </w:rPr>
                  </w:pPr>
                  <w:r>
                    <w:rPr>
                      <w:sz w:val="8"/>
                      <w:szCs w:val="8"/>
                    </w:rPr>
                    <w:t xml:space="preserve">    </w:t>
                  </w:r>
                </w:p>
              </w:tc>
            </w:tr>
          </w:tbl>
          <w:p w14:paraId="182D6D21" w14:textId="77777777" w:rsidR="007A5E1B" w:rsidRDefault="007A5E1B">
            <w:pPr>
              <w:rPr>
                <w:rFonts w:ascii="Times New Roman" w:eastAsia="Times New Roman" w:hAnsi="Times New Roman" w:cs="Times New Roman"/>
                <w:sz w:val="20"/>
                <w:szCs w:val="20"/>
              </w:rPr>
            </w:pPr>
          </w:p>
        </w:tc>
      </w:tr>
    </w:tbl>
    <w:p w14:paraId="3437B140" w14:textId="77777777" w:rsidR="00344AAE" w:rsidRDefault="007A5E1B"/>
    <w:sectPr w:rsidR="00344AAE" w:rsidSect="007A5E1B">
      <w:pgSz w:w="12240" w:h="15840"/>
      <w:pgMar w:top="720"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1B"/>
    <w:rsid w:val="00242165"/>
    <w:rsid w:val="007A5E1B"/>
    <w:rsid w:val="00C9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877683"/>
  <w15:chartTrackingRefBased/>
  <w15:docId w15:val="{1D6A6AD8-168B-4984-B55E-4CA43CD4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E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5E1B"/>
    <w:rPr>
      <w:color w:val="0000FF"/>
      <w:u w:val="single"/>
    </w:rPr>
  </w:style>
  <w:style w:type="paragraph" w:styleId="NormalWeb">
    <w:name w:val="Normal (Web)"/>
    <w:basedOn w:val="Normal"/>
    <w:uiPriority w:val="99"/>
    <w:unhideWhenUsed/>
    <w:rsid w:val="007A5E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7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xty.maillist-manage.com/click.zc?od=2d5a885a69b60a97216067a6ffd5024f71185630859ca1fd0&amp;repDgs=1262069b556cd861&amp;linkDgs=1262069b556c7c83&amp;mrd=1262069b556cd32f&amp;m=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qxty.maillist-manage.com/click.zc?od=2d5a885a69b60a97216067a6ffd5024f71185630859ca1fd0&amp;repDgs=1262069b556cd861&amp;linkDgs=1262069b556c7c81&amp;mrd=1262069b556cd32f&amp;m=1" TargetMode="External"/><Relationship Id="rId12" Type="http://schemas.openxmlformats.org/officeDocument/2006/relationships/hyperlink" Target="https://qxty.maillist-manage.com/click.zc?od=2d5a885a69b60a97216067a6ffd5024f71185630859ca1fd0&amp;repDgs=1262069b556cd861&amp;linkDgs=1262069b556c7c89&amp;mrd=1262069b556cd32f&amp;m=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qxty.maillist-manage.com/click.zc?od=2d5a885a69b60a97216067a6ffd5024f71185630859ca1fd0&amp;repDgs=1262069b556cd861&amp;linkDgs=1262069b556c7c7f&amp;mrd=1262069b556cd32f&amp;m=1" TargetMode="External"/><Relationship Id="rId11" Type="http://schemas.openxmlformats.org/officeDocument/2006/relationships/image" Target="media/image2.png"/><Relationship Id="rId5" Type="http://schemas.openxmlformats.org/officeDocument/2006/relationships/hyperlink" Target="https://qxty.maillist-manage.com/click.zc?od=2d5a885a69b60a97216067a6ffd5024f71185630859ca1fd0&amp;repDgs=1262069b556cd861&amp;linkDgs=1262069b556c7c7d&amp;mrd=1262069b556cd32f&amp;m=1" TargetMode="External"/><Relationship Id="rId10" Type="http://schemas.openxmlformats.org/officeDocument/2006/relationships/hyperlink" Target="https://qxty.maillist-manage.com/click.zc?od=2d5a885a69b60a97216067a6ffd5024f71185630859ca1fd0&amp;repDgs=1262069b556cd861&amp;linkDgs=1262069b556c7c87&amp;mrd=1262069b556cd32f&amp;m=1" TargetMode="External"/><Relationship Id="rId4" Type="http://schemas.openxmlformats.org/officeDocument/2006/relationships/image" Target="media/image1.png"/><Relationship Id="rId9" Type="http://schemas.openxmlformats.org/officeDocument/2006/relationships/hyperlink" Target="https://qxty.maillist-manage.com/click.zc?od=2d5a885a69b60a97216067a6ffd5024f71185630859ca1fd0&amp;repDgs=1262069b556cd861&amp;linkDgs=1262069b556c7c85&amp;mrd=1262069b556cd32f&amp;m=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Comstock</dc:creator>
  <cp:keywords/>
  <dc:description/>
  <cp:lastModifiedBy>Neal Comstock</cp:lastModifiedBy>
  <cp:revision>1</cp:revision>
  <dcterms:created xsi:type="dcterms:W3CDTF">2020-11-22T21:52:00Z</dcterms:created>
  <dcterms:modified xsi:type="dcterms:W3CDTF">2020-11-22T22:02:00Z</dcterms:modified>
</cp:coreProperties>
</file>