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9259" w14:textId="438D6CD1" w:rsidR="00E22387" w:rsidRPr="00E22387" w:rsidRDefault="00E22387" w:rsidP="00E22387">
      <w:pPr>
        <w:pStyle w:val="NoSpacing"/>
        <w:jc w:val="center"/>
        <w:rPr>
          <w:rFonts w:ascii="Arial" w:hAnsi="Arial" w:cs="Arial"/>
          <w:b/>
          <w:color w:val="0070C0"/>
        </w:rPr>
      </w:pPr>
      <w:bookmarkStart w:id="0" w:name="_GoBack"/>
      <w:bookmarkEnd w:id="0"/>
    </w:p>
    <w:p w14:paraId="6A9F3F40" w14:textId="627E3861" w:rsidR="00E22387" w:rsidRDefault="00E22387" w:rsidP="00E22387">
      <w:pPr>
        <w:pStyle w:val="NoSpacing"/>
        <w:rPr>
          <w:rFonts w:ascii="Arial" w:hAnsi="Arial" w:cs="Arial"/>
          <w:bCs/>
          <w:color w:val="000000" w:themeColor="text1"/>
        </w:rPr>
      </w:pPr>
    </w:p>
    <w:p w14:paraId="7A2B4718" w14:textId="239477A7" w:rsidR="005758FE" w:rsidRDefault="006709AA" w:rsidP="006709AA">
      <w:pPr>
        <w:pStyle w:val="NoSpacing"/>
        <w:pBdr>
          <w:bottom w:val="single" w:sz="6" w:space="1" w:color="auto"/>
        </w:pBdr>
        <w:jc w:val="center"/>
        <w:rPr>
          <w:rFonts w:ascii="Arial" w:hAnsi="Arial" w:cs="Arial"/>
          <w:b/>
          <w:color w:val="000000" w:themeColor="text1"/>
          <w:sz w:val="28"/>
          <w:szCs w:val="28"/>
        </w:rPr>
      </w:pPr>
      <w:r w:rsidRPr="006709AA">
        <w:rPr>
          <w:rFonts w:ascii="Arial" w:hAnsi="Arial" w:cs="Arial"/>
          <w:b/>
          <w:color w:val="000000" w:themeColor="text1"/>
          <w:sz w:val="28"/>
          <w:szCs w:val="28"/>
        </w:rPr>
        <w:t>Families First Coronavirus Response Act</w:t>
      </w:r>
      <w:r w:rsidR="00A77D24">
        <w:rPr>
          <w:rFonts w:ascii="Arial" w:hAnsi="Arial" w:cs="Arial"/>
          <w:b/>
          <w:color w:val="000000" w:themeColor="text1"/>
          <w:sz w:val="28"/>
          <w:szCs w:val="28"/>
        </w:rPr>
        <w:t xml:space="preserve"> (FFCRA)</w:t>
      </w:r>
      <w:r w:rsidRPr="006709AA">
        <w:rPr>
          <w:rFonts w:ascii="Arial" w:hAnsi="Arial" w:cs="Arial"/>
          <w:b/>
          <w:color w:val="000000" w:themeColor="text1"/>
          <w:sz w:val="28"/>
          <w:szCs w:val="28"/>
        </w:rPr>
        <w:t xml:space="preserve"> </w:t>
      </w:r>
    </w:p>
    <w:p w14:paraId="1F52A7E5" w14:textId="50876487" w:rsidR="00E22387" w:rsidRDefault="006709AA" w:rsidP="006709AA">
      <w:pPr>
        <w:pStyle w:val="NoSpacing"/>
        <w:pBdr>
          <w:bottom w:val="single" w:sz="6" w:space="1" w:color="auto"/>
        </w:pBdr>
        <w:jc w:val="center"/>
        <w:rPr>
          <w:rFonts w:ascii="Arial" w:hAnsi="Arial" w:cs="Arial"/>
          <w:b/>
          <w:color w:val="000000" w:themeColor="text1"/>
          <w:sz w:val="28"/>
          <w:szCs w:val="28"/>
        </w:rPr>
      </w:pPr>
      <w:r w:rsidRPr="006709AA">
        <w:rPr>
          <w:rFonts w:ascii="Arial" w:hAnsi="Arial" w:cs="Arial"/>
          <w:b/>
          <w:color w:val="000000" w:themeColor="text1"/>
          <w:sz w:val="28"/>
          <w:szCs w:val="28"/>
        </w:rPr>
        <w:t xml:space="preserve">Employee Paid Leave </w:t>
      </w:r>
      <w:r w:rsidR="00E61FA3">
        <w:rPr>
          <w:rFonts w:ascii="Arial" w:hAnsi="Arial" w:cs="Arial"/>
          <w:b/>
          <w:color w:val="000000" w:themeColor="text1"/>
          <w:sz w:val="28"/>
          <w:szCs w:val="28"/>
        </w:rPr>
        <w:t>Exemptions</w:t>
      </w:r>
    </w:p>
    <w:p w14:paraId="7528753E" w14:textId="76AFD585" w:rsidR="009B1BE8" w:rsidRPr="006709AA" w:rsidRDefault="009B1BE8" w:rsidP="006709AA">
      <w:pPr>
        <w:pStyle w:val="NoSpacing"/>
        <w:pBdr>
          <w:bottom w:val="single" w:sz="6" w:space="1" w:color="auto"/>
        </w:pBdr>
        <w:jc w:val="center"/>
        <w:rPr>
          <w:rFonts w:ascii="Arial" w:hAnsi="Arial" w:cs="Arial"/>
          <w:b/>
          <w:color w:val="000000" w:themeColor="text1"/>
          <w:sz w:val="28"/>
          <w:szCs w:val="28"/>
        </w:rPr>
      </w:pPr>
      <w:r>
        <w:rPr>
          <w:rFonts w:ascii="Arial" w:hAnsi="Arial" w:cs="Arial"/>
          <w:b/>
          <w:color w:val="000000" w:themeColor="text1"/>
          <w:sz w:val="28"/>
          <w:szCs w:val="28"/>
        </w:rPr>
        <w:t>Frequently Asked Questions</w:t>
      </w:r>
    </w:p>
    <w:p w14:paraId="6791EA5D" w14:textId="19F26B14" w:rsidR="006709AA" w:rsidRDefault="006709AA" w:rsidP="00E22387">
      <w:pPr>
        <w:pStyle w:val="NoSpacing"/>
        <w:pBdr>
          <w:bottom w:val="single" w:sz="6" w:space="1" w:color="auto"/>
        </w:pBdr>
        <w:rPr>
          <w:rFonts w:ascii="Arial" w:hAnsi="Arial" w:cs="Arial"/>
          <w:bCs/>
          <w:color w:val="000000" w:themeColor="text1"/>
        </w:rPr>
      </w:pPr>
    </w:p>
    <w:p w14:paraId="0402945E" w14:textId="77777777" w:rsidR="005340D5" w:rsidRDefault="005340D5" w:rsidP="00E22387">
      <w:pPr>
        <w:pStyle w:val="NoSpacing"/>
        <w:pBdr>
          <w:bottom w:val="single" w:sz="6" w:space="1" w:color="auto"/>
        </w:pBdr>
        <w:rPr>
          <w:rFonts w:ascii="Arial" w:hAnsi="Arial" w:cs="Arial"/>
          <w:bCs/>
          <w:color w:val="000000" w:themeColor="text1"/>
        </w:rPr>
      </w:pPr>
    </w:p>
    <w:p w14:paraId="6FD8C933" w14:textId="25F0385B" w:rsidR="00D04443" w:rsidRDefault="00D04443" w:rsidP="00D04443">
      <w:pPr>
        <w:pStyle w:val="NoSpacing"/>
        <w:ind w:left="360"/>
        <w:rPr>
          <w:b/>
          <w:bCs/>
        </w:rPr>
      </w:pPr>
    </w:p>
    <w:p w14:paraId="0BAEC40B" w14:textId="77777777" w:rsidR="005340D5" w:rsidRDefault="005340D5" w:rsidP="00D04443">
      <w:pPr>
        <w:pStyle w:val="NoSpacing"/>
        <w:ind w:left="360"/>
        <w:rPr>
          <w:b/>
          <w:bCs/>
        </w:rPr>
      </w:pPr>
    </w:p>
    <w:p w14:paraId="0C465B34" w14:textId="6AE2CD6A" w:rsidR="009B1BE8" w:rsidRPr="00E543FD" w:rsidRDefault="009B1BE8" w:rsidP="009844D1">
      <w:pPr>
        <w:jc w:val="both"/>
        <w:rPr>
          <w:rFonts w:eastAsia="Times New Roman"/>
          <w:i/>
          <w:iCs/>
          <w:color w:val="000000"/>
        </w:rPr>
      </w:pPr>
      <w:r w:rsidRPr="00E543FD">
        <w:rPr>
          <w:rFonts w:cstheme="minorHAnsi"/>
          <w:i/>
          <w:iCs/>
        </w:rPr>
        <w:t>The information provided in this document does not, and is not intended to, constitute legal advice; instead, all information is provided for convenience and general informational purposes only.  Information in this document is not, and should not be construed as, a recommendation from the Department of Mental Health and Substance Abuse Services or the State of Tennessee to act, or refrain from acting, in any particular way.  Readers should contact their attorney to obtain advice with respect to any particular legal matter.  Only your individual attorney can provide assurances that the information contained herein</w:t>
      </w:r>
      <w:r w:rsidR="006E3000">
        <w:rPr>
          <w:rFonts w:cstheme="minorHAnsi"/>
          <w:i/>
          <w:iCs/>
        </w:rPr>
        <w:t>—an</w:t>
      </w:r>
      <w:r w:rsidRPr="00E543FD">
        <w:rPr>
          <w:rFonts w:cstheme="minorHAnsi"/>
          <w:i/>
          <w:iCs/>
        </w:rPr>
        <w:t>d your interpretation of it</w:t>
      </w:r>
      <w:r w:rsidR="006E3000">
        <w:rPr>
          <w:rFonts w:cstheme="minorHAnsi"/>
          <w:i/>
          <w:iCs/>
        </w:rPr>
        <w:t>—</w:t>
      </w:r>
      <w:r w:rsidRPr="00E543FD">
        <w:rPr>
          <w:rFonts w:cstheme="minorHAnsi"/>
          <w:i/>
          <w:iCs/>
        </w:rPr>
        <w:t xml:space="preserve">is applicable or appropriate to your particular situation.  </w:t>
      </w:r>
      <w:r w:rsidRPr="00E543FD">
        <w:rPr>
          <w:rFonts w:eastAsia="Times New Roman"/>
          <w:i/>
          <w:iCs/>
          <w:color w:val="000000"/>
        </w:rPr>
        <w:t xml:space="preserve">Nothing contained herein constrains, limits, or otherwise inhibits any relevant enforcement agency, state or federal, from adopting and/or enforcing an interpretation contrary to this information should </w:t>
      </w:r>
      <w:r w:rsidR="006E3000">
        <w:rPr>
          <w:rFonts w:eastAsia="Times New Roman"/>
          <w:i/>
          <w:iCs/>
          <w:color w:val="000000"/>
        </w:rPr>
        <w:t>the</w:t>
      </w:r>
      <w:r w:rsidRPr="00E543FD">
        <w:rPr>
          <w:rFonts w:eastAsia="Times New Roman"/>
          <w:i/>
          <w:iCs/>
          <w:color w:val="000000"/>
        </w:rPr>
        <w:t xml:space="preserve"> agency determine such an interpretation is appropriate.</w:t>
      </w:r>
    </w:p>
    <w:p w14:paraId="457A9F84" w14:textId="77777777" w:rsidR="009B1BE8" w:rsidRDefault="009B1BE8" w:rsidP="006D7AA3">
      <w:pPr>
        <w:pStyle w:val="NoSpacing"/>
        <w:ind w:left="360"/>
        <w:jc w:val="both"/>
        <w:rPr>
          <w:b/>
          <w:bCs/>
        </w:rPr>
      </w:pPr>
    </w:p>
    <w:p w14:paraId="30E08DF1" w14:textId="4544331B" w:rsidR="009B1BE8" w:rsidRDefault="006E3000" w:rsidP="009B1BE8">
      <w:pPr>
        <w:pStyle w:val="NoSpacing"/>
        <w:jc w:val="both"/>
      </w:pPr>
      <w:bookmarkStart w:id="1" w:name="_Hlk36373990"/>
      <w:r>
        <w:t>T</w:t>
      </w:r>
      <w:r w:rsidR="009B1BE8" w:rsidRPr="00E543FD">
        <w:t>he State of Tennessee is experiencing extraordinary circumstances due to th</w:t>
      </w:r>
      <w:r w:rsidR="009B1BE8">
        <w:t>e</w:t>
      </w:r>
      <w:r w:rsidR="009B1BE8" w:rsidRPr="00E543FD">
        <w:t xml:space="preserve"> Coronavirus </w:t>
      </w:r>
      <w:r w:rsidR="00641D02">
        <w:t>D</w:t>
      </w:r>
      <w:r w:rsidR="009B1BE8" w:rsidRPr="00E543FD">
        <w:t>isease 2019 (COVID-</w:t>
      </w:r>
      <w:bookmarkStart w:id="2" w:name="_Hlk36373965"/>
      <w:r w:rsidR="009B1BE8" w:rsidRPr="00E543FD">
        <w:t>19</w:t>
      </w:r>
      <w:bookmarkEnd w:id="1"/>
      <w:r w:rsidR="009B1BE8" w:rsidRPr="00E543FD">
        <w:t xml:space="preserve">), </w:t>
      </w:r>
      <w:r>
        <w:t xml:space="preserve">but </w:t>
      </w:r>
      <w:r w:rsidR="009B1BE8" w:rsidRPr="00E543FD">
        <w:t>the mission of the</w:t>
      </w:r>
      <w:r w:rsidR="009B1BE8">
        <w:rPr>
          <w:b/>
          <w:bCs/>
        </w:rPr>
        <w:t xml:space="preserve"> </w:t>
      </w:r>
      <w:r w:rsidR="009B1BE8" w:rsidRPr="00E543FD">
        <w:t>Ten</w:t>
      </w:r>
      <w:r w:rsidR="009B1BE8" w:rsidRPr="00AF426A">
        <w:t xml:space="preserve">nessee Department of Mental Health and Substance Abuse Services </w:t>
      </w:r>
      <w:r w:rsidR="009B1BE8">
        <w:t>has not changed.  The Department continues to create collaborative pathways to resiliency, recovery</w:t>
      </w:r>
      <w:r>
        <w:t>,</w:t>
      </w:r>
      <w:r w:rsidR="009B1BE8">
        <w:t xml:space="preserve"> and independence for Tennesseans living with mental illness and substance use disorders</w:t>
      </w:r>
      <w:r w:rsidR="00CF564C" w:rsidRPr="00E659A0">
        <w:t>.   In challenging times such as these, it is even more important to focus on our unwavering commitment to keep patients and those who service the</w:t>
      </w:r>
      <w:r w:rsidR="00CF564C" w:rsidRPr="009844D1">
        <w:t>m</w:t>
      </w:r>
      <w:r w:rsidR="00CF564C" w:rsidRPr="00E659A0">
        <w:t xml:space="preserve"> at the forefront of every decision.  The Department</w:t>
      </w:r>
      <w:r w:rsidR="00641D02">
        <w:t>,</w:t>
      </w:r>
      <w:r w:rsidR="00CF564C" w:rsidRPr="00E659A0">
        <w:t xml:space="preserve"> </w:t>
      </w:r>
      <w:r w:rsidR="009B1BE8" w:rsidRPr="00E659A0">
        <w:t>dedicated Regional Mental Health Institute staff</w:t>
      </w:r>
      <w:r w:rsidR="00641D02">
        <w:t>,</w:t>
      </w:r>
      <w:r w:rsidR="009B1BE8" w:rsidRPr="00E659A0">
        <w:t xml:space="preserve"> and community behavioral health care staff</w:t>
      </w:r>
      <w:r w:rsidR="00CF564C" w:rsidRPr="00E659A0">
        <w:t xml:space="preserve"> deliver essential services to over 3</w:t>
      </w:r>
      <w:r w:rsidR="008106ED" w:rsidRPr="009844D1">
        <w:t>7</w:t>
      </w:r>
      <w:r w:rsidR="00CF564C" w:rsidRPr="00E659A0">
        <w:t>0,000 Tennesseans</w:t>
      </w:r>
      <w:r w:rsidR="00081658">
        <w:t>,</w:t>
      </w:r>
      <w:r w:rsidR="00CF564C" w:rsidRPr="00E659A0">
        <w:t xml:space="preserve"> and we must continue our </w:t>
      </w:r>
      <w:r w:rsidR="00CB6E24" w:rsidRPr="009844D1">
        <w:t xml:space="preserve">critical </w:t>
      </w:r>
      <w:r w:rsidR="00CF564C" w:rsidRPr="00E659A0">
        <w:t>work to assist this vulnerable and deserving population</w:t>
      </w:r>
      <w:r w:rsidRPr="00E659A0">
        <w:t>.</w:t>
      </w:r>
      <w:r w:rsidR="009B1BE8">
        <w:t xml:space="preserve"> </w:t>
      </w:r>
    </w:p>
    <w:bookmarkEnd w:id="2"/>
    <w:p w14:paraId="31B22441" w14:textId="77777777" w:rsidR="009B1BE8" w:rsidRDefault="009B1BE8" w:rsidP="006E3000">
      <w:pPr>
        <w:pStyle w:val="NoSpacing"/>
        <w:jc w:val="both"/>
      </w:pPr>
    </w:p>
    <w:p w14:paraId="1A2592F4" w14:textId="31E3872D" w:rsidR="009B1BE8" w:rsidRPr="007A2D24" w:rsidRDefault="009B1BE8" w:rsidP="006E3000">
      <w:pPr>
        <w:pStyle w:val="NoSpacing"/>
        <w:jc w:val="both"/>
      </w:pPr>
      <w:r>
        <w:t xml:space="preserve">The Department created this FAQ to offer guidance regarding parts of the </w:t>
      </w:r>
      <w:r w:rsidRPr="00A77D24">
        <w:t>Families First Coronavirus Response Act (FFCRA</w:t>
      </w:r>
      <w:r>
        <w:t xml:space="preserve"> or the Act</w:t>
      </w:r>
      <w:r w:rsidRPr="00A77D24">
        <w:t>)</w:t>
      </w:r>
      <w:r>
        <w:t>,</w:t>
      </w:r>
      <w:r w:rsidRPr="00A77D24">
        <w:t xml:space="preserve"> </w:t>
      </w:r>
      <w:r>
        <w:t xml:space="preserve">which will become effective on April 1, 2020. </w:t>
      </w:r>
      <w:r w:rsidR="00120899">
        <w:t xml:space="preserve"> This FAQ does not attempt to address every part of the FFCRA, and you should review the FFCRA in full at the link provided below.</w:t>
      </w:r>
      <w:r>
        <w:t xml:space="preserve">  You can access additional guidance on the U.S. Department of Labor website, </w:t>
      </w:r>
      <w:hyperlink r:id="rId8" w:history="1">
        <w:r w:rsidR="00641D02" w:rsidRPr="004C563F">
          <w:rPr>
            <w:rStyle w:val="Hyperlink"/>
          </w:rPr>
          <w:t>https://www.dol.gov/</w:t>
        </w:r>
      </w:hyperlink>
      <w:r w:rsidR="00641D02">
        <w:t xml:space="preserve">. </w:t>
      </w:r>
    </w:p>
    <w:p w14:paraId="016850DA" w14:textId="77777777" w:rsidR="005340D5" w:rsidRDefault="005340D5" w:rsidP="009844D1">
      <w:pPr>
        <w:pStyle w:val="NoSpacing"/>
        <w:jc w:val="both"/>
        <w:rPr>
          <w:b/>
          <w:bCs/>
        </w:rPr>
      </w:pPr>
    </w:p>
    <w:p w14:paraId="6237C0F7" w14:textId="77777777" w:rsidR="00340BDA" w:rsidRDefault="006B78BD" w:rsidP="006E3000">
      <w:pPr>
        <w:pStyle w:val="NoSpacing"/>
        <w:numPr>
          <w:ilvl w:val="0"/>
          <w:numId w:val="7"/>
        </w:numPr>
        <w:ind w:left="720"/>
        <w:jc w:val="both"/>
        <w:rPr>
          <w:b/>
          <w:bCs/>
        </w:rPr>
      </w:pPr>
      <w:r w:rsidRPr="007145D5">
        <w:rPr>
          <w:b/>
          <w:bCs/>
        </w:rPr>
        <w:t>What is the FFCRA?</w:t>
      </w:r>
      <w:r w:rsidR="009B40CA" w:rsidRPr="007145D5">
        <w:rPr>
          <w:b/>
          <w:bCs/>
        </w:rPr>
        <w:t xml:space="preserve">  </w:t>
      </w:r>
    </w:p>
    <w:p w14:paraId="6CCF9676" w14:textId="77777777" w:rsidR="00340BDA" w:rsidRDefault="00340BDA" w:rsidP="006E3000">
      <w:pPr>
        <w:pStyle w:val="NoSpacing"/>
        <w:ind w:left="720"/>
        <w:jc w:val="both"/>
        <w:rPr>
          <w:b/>
          <w:bCs/>
        </w:rPr>
      </w:pPr>
    </w:p>
    <w:p w14:paraId="6012F4C6" w14:textId="1AF70881" w:rsidR="009B1BE8" w:rsidRDefault="009B1BE8">
      <w:pPr>
        <w:pStyle w:val="NoSpacing"/>
        <w:ind w:left="720"/>
        <w:jc w:val="both"/>
      </w:pPr>
      <w:r w:rsidRPr="007145D5">
        <w:t xml:space="preserve">The FFCRA </w:t>
      </w:r>
      <w:r>
        <w:t xml:space="preserve">is a </w:t>
      </w:r>
      <w:r w:rsidR="00641D02">
        <w:t xml:space="preserve">federal </w:t>
      </w:r>
      <w:r>
        <w:t>law</w:t>
      </w:r>
      <w:r w:rsidR="00340BDA">
        <w:t xml:space="preserve"> that</w:t>
      </w:r>
      <w:r>
        <w:t xml:space="preserve"> passed on March 18, 2020, </w:t>
      </w:r>
      <w:r w:rsidR="00340BDA">
        <w:t>and</w:t>
      </w:r>
      <w:r>
        <w:t xml:space="preserve"> provides various forms of relief in response to the COVID-19 outbreak. The law goes into effect on April 1, 2020, and expires on December 31, 2020. The FFCRA includes</w:t>
      </w:r>
      <w:r w:rsidRPr="007145D5">
        <w:t xml:space="preserve"> the Emergency Family and Medical Leave Expansion Act (“Expansion Act”) and the Emergency Paid Sick Leave Act (“Sick Leave Act”).</w:t>
      </w:r>
      <w:r>
        <w:t xml:space="preserve">   You can read the entire FFCRA </w:t>
      </w:r>
      <w:hyperlink r:id="rId9" w:history="1">
        <w:r w:rsidR="00641D02" w:rsidRPr="00641D02">
          <w:rPr>
            <w:rStyle w:val="Hyperlink"/>
          </w:rPr>
          <w:t>here</w:t>
        </w:r>
      </w:hyperlink>
      <w:r>
        <w:t>.</w:t>
      </w:r>
    </w:p>
    <w:p w14:paraId="50718611" w14:textId="2C2D0B60" w:rsidR="008106ED" w:rsidRDefault="008106ED">
      <w:pPr>
        <w:pStyle w:val="NoSpacing"/>
        <w:ind w:left="720"/>
        <w:jc w:val="both"/>
      </w:pPr>
    </w:p>
    <w:p w14:paraId="571A36D8" w14:textId="23B6D58F" w:rsidR="008106ED" w:rsidRDefault="008106ED">
      <w:pPr>
        <w:pStyle w:val="NoSpacing"/>
        <w:ind w:left="720"/>
        <w:jc w:val="both"/>
      </w:pPr>
    </w:p>
    <w:p w14:paraId="5DA23F43" w14:textId="6A466F34" w:rsidR="008106ED" w:rsidRPr="009844D1" w:rsidRDefault="008106ED" w:rsidP="008106ED">
      <w:pPr>
        <w:pStyle w:val="NoSpacing"/>
        <w:numPr>
          <w:ilvl w:val="0"/>
          <w:numId w:val="7"/>
        </w:numPr>
        <w:ind w:left="720"/>
        <w:jc w:val="both"/>
      </w:pPr>
      <w:r w:rsidRPr="00E659A0">
        <w:rPr>
          <w:b/>
          <w:bCs/>
        </w:rPr>
        <w:lastRenderedPageBreak/>
        <w:t>Does the FFCRA change any services, o</w:t>
      </w:r>
      <w:r w:rsidRPr="009844D1">
        <w:rPr>
          <w:b/>
          <w:bCs/>
        </w:rPr>
        <w:t>r</w:t>
      </w:r>
      <w:r w:rsidRPr="00E659A0">
        <w:rPr>
          <w:b/>
          <w:bCs/>
        </w:rPr>
        <w:t xml:space="preserve"> the eligible beneficiaries thereof, that are provided by the Department of Mental Health and Substance Abuse Services</w:t>
      </w:r>
      <w:r w:rsidRPr="009844D1">
        <w:rPr>
          <w:b/>
          <w:bCs/>
        </w:rPr>
        <w:t xml:space="preserve"> and its partners</w:t>
      </w:r>
      <w:r w:rsidRPr="00E659A0">
        <w:rPr>
          <w:b/>
          <w:bCs/>
        </w:rPr>
        <w:t xml:space="preserve">? </w:t>
      </w:r>
    </w:p>
    <w:p w14:paraId="17D7CC50" w14:textId="77777777" w:rsidR="008106ED" w:rsidRPr="00E659A0" w:rsidRDefault="008106ED" w:rsidP="008106ED">
      <w:pPr>
        <w:pStyle w:val="NoSpacing"/>
        <w:ind w:left="720"/>
        <w:jc w:val="both"/>
      </w:pPr>
    </w:p>
    <w:p w14:paraId="7DCC00FE" w14:textId="6E29F311" w:rsidR="008106ED" w:rsidRDefault="008106ED" w:rsidP="009844D1">
      <w:pPr>
        <w:pStyle w:val="NoSpacing"/>
        <w:ind w:left="720"/>
        <w:jc w:val="both"/>
      </w:pPr>
      <w:r w:rsidRPr="00E659A0">
        <w:t>No.  In fact, the Governor has specifically addressed the continuation of</w:t>
      </w:r>
      <w:r w:rsidR="00E65A79" w:rsidRPr="009844D1">
        <w:t xml:space="preserve"> these</w:t>
      </w:r>
      <w:r w:rsidRPr="00E659A0">
        <w:t xml:space="preserve"> essential services.</w:t>
      </w:r>
      <w:r w:rsidRPr="008106ED">
        <w:rPr>
          <w:b/>
          <w:bCs/>
        </w:rPr>
        <w:t xml:space="preserve"> </w:t>
      </w:r>
    </w:p>
    <w:p w14:paraId="164F011E" w14:textId="77777777" w:rsidR="008106ED" w:rsidRDefault="008106ED" w:rsidP="008106ED">
      <w:pPr>
        <w:pStyle w:val="NoSpacing"/>
        <w:ind w:left="1800"/>
        <w:jc w:val="both"/>
      </w:pPr>
    </w:p>
    <w:p w14:paraId="6FEAA4A7" w14:textId="77777777" w:rsidR="008106ED" w:rsidRDefault="008106ED" w:rsidP="008106ED">
      <w:pPr>
        <w:pStyle w:val="NoSpacing"/>
        <w:ind w:left="720"/>
        <w:jc w:val="both"/>
      </w:pPr>
      <w:r>
        <w:t>Executive Order 17, Section 3, provides that “[a]</w:t>
      </w:r>
      <w:proofErr w:type="spellStart"/>
      <w:r>
        <w:t>ll</w:t>
      </w:r>
      <w:proofErr w:type="spellEnd"/>
      <w:r>
        <w:t xml:space="preserve"> critical infrastructure remains operational, and government entities and businesses will continue providing important and essential services.”</w:t>
      </w:r>
    </w:p>
    <w:p w14:paraId="17BB82D2" w14:textId="77777777" w:rsidR="008106ED" w:rsidRDefault="008106ED" w:rsidP="008106ED">
      <w:pPr>
        <w:pStyle w:val="NoSpacing"/>
        <w:ind w:left="1080"/>
        <w:jc w:val="both"/>
      </w:pPr>
    </w:p>
    <w:p w14:paraId="6E50B9C3" w14:textId="2A2D0541" w:rsidR="00FE5701" w:rsidRPr="009844D1" w:rsidRDefault="008106ED" w:rsidP="009844D1">
      <w:pPr>
        <w:pStyle w:val="NoSpacing"/>
        <w:ind w:left="720"/>
        <w:jc w:val="both"/>
        <w:rPr>
          <w:b/>
          <w:bCs/>
        </w:rPr>
      </w:pPr>
      <w:r>
        <w:t>Executive Order 20 states that “it is imperative that essential healthcare services, including mental health services, remain accessible to Tennesseans” and that “providing essential healthcare services in a manner that minimizes the continued spread of COVID-19 requires the use of alternative delivery mechanisms to protect healthcare providers and patients.”</w:t>
      </w:r>
    </w:p>
    <w:p w14:paraId="66371810" w14:textId="77777777" w:rsidR="00340BDA" w:rsidRPr="007145D5" w:rsidRDefault="00340BDA" w:rsidP="009844D1">
      <w:pPr>
        <w:pStyle w:val="NoSpacing"/>
        <w:jc w:val="both"/>
        <w:rPr>
          <w:b/>
          <w:bCs/>
        </w:rPr>
      </w:pPr>
    </w:p>
    <w:p w14:paraId="16449650" w14:textId="60F22E3A" w:rsidR="006B78BD" w:rsidRPr="00D5585A" w:rsidRDefault="008106ED" w:rsidP="009844D1">
      <w:pPr>
        <w:pStyle w:val="NoSpacing"/>
        <w:ind w:left="720" w:hanging="360"/>
        <w:jc w:val="both"/>
      </w:pPr>
      <w:r>
        <w:rPr>
          <w:b/>
          <w:bCs/>
        </w:rPr>
        <w:t>3</w:t>
      </w:r>
      <w:r w:rsidR="009B1BE8">
        <w:rPr>
          <w:b/>
          <w:bCs/>
        </w:rPr>
        <w:t>.</w:t>
      </w:r>
      <w:r w:rsidR="009B1BE8">
        <w:rPr>
          <w:b/>
          <w:bCs/>
        </w:rPr>
        <w:tab/>
        <w:t>What is the Expansion Act?</w:t>
      </w:r>
      <w:r w:rsidR="006B78BD" w:rsidRPr="00D5585A">
        <w:t xml:space="preserve"> </w:t>
      </w:r>
    </w:p>
    <w:p w14:paraId="5F5D197D" w14:textId="77777777" w:rsidR="009E250D" w:rsidRDefault="009E250D" w:rsidP="006E3000">
      <w:pPr>
        <w:pStyle w:val="NoSpacing"/>
        <w:ind w:left="1080"/>
        <w:jc w:val="both"/>
      </w:pPr>
    </w:p>
    <w:p w14:paraId="221AE32D" w14:textId="1D5A15C2" w:rsidR="001F2F39" w:rsidRPr="00372EFA" w:rsidRDefault="009B1BE8" w:rsidP="009844D1">
      <w:pPr>
        <w:pStyle w:val="ListParagraph"/>
        <w:spacing w:after="0" w:line="240" w:lineRule="auto"/>
        <w:jc w:val="both"/>
        <w:rPr>
          <w:rFonts w:eastAsia="Times New Roman" w:cstheme="minorHAnsi"/>
        </w:rPr>
      </w:pPr>
      <w:r>
        <w:t>The Expansion Act t</w:t>
      </w:r>
      <w:r w:rsidR="00965B30">
        <w:t>emporarily</w:t>
      </w:r>
      <w:r w:rsidR="009D1410">
        <w:t xml:space="preserve"> </w:t>
      </w:r>
      <w:r w:rsidR="00A424FC">
        <w:t xml:space="preserve">expands </w:t>
      </w:r>
      <w:r w:rsidR="00965B30">
        <w:t>t</w:t>
      </w:r>
      <w:r w:rsidR="006B78BD" w:rsidRPr="006B78BD">
        <w:t>he Family and Medical Lea</w:t>
      </w:r>
      <w:r w:rsidR="00340BDA">
        <w:t>v</w:t>
      </w:r>
      <w:r w:rsidR="006B78BD" w:rsidRPr="006B78BD">
        <w:t>e Act (FMLA) to cover leave for</w:t>
      </w:r>
      <w:r w:rsidR="00340BDA">
        <w:t xml:space="preserve"> employees</w:t>
      </w:r>
      <w:r w:rsidR="00FD5205">
        <w:t>—</w:t>
      </w:r>
      <w:r w:rsidR="00641D02">
        <w:t xml:space="preserve">but only those </w:t>
      </w:r>
      <w:r w:rsidR="00340BDA">
        <w:t>employed for at least 30 days</w:t>
      </w:r>
      <w:r w:rsidR="00FD5205">
        <w:t xml:space="preserve">—who are </w:t>
      </w:r>
      <w:r w:rsidR="00340BDA" w:rsidRPr="009844D1">
        <w:rPr>
          <w:rFonts w:eastAsia="Times New Roman" w:cstheme="minorHAnsi"/>
        </w:rPr>
        <w:t>unable to work or telework due to</w:t>
      </w:r>
      <w:r w:rsidR="00FD5205">
        <w:rPr>
          <w:rFonts w:eastAsia="Times New Roman" w:cstheme="minorHAnsi"/>
        </w:rPr>
        <w:t xml:space="preserve"> a </w:t>
      </w:r>
      <w:r w:rsidR="00340BDA" w:rsidRPr="009844D1">
        <w:rPr>
          <w:rFonts w:eastAsia="Times New Roman" w:cstheme="minorHAnsi"/>
        </w:rPr>
        <w:t xml:space="preserve">need to care for a son or daughter under </w:t>
      </w:r>
      <w:r w:rsidR="00641D02">
        <w:rPr>
          <w:rFonts w:eastAsia="Times New Roman" w:cstheme="minorHAnsi"/>
        </w:rPr>
        <w:t xml:space="preserve">age </w:t>
      </w:r>
      <w:r w:rsidR="00340BDA" w:rsidRPr="009844D1">
        <w:rPr>
          <w:rFonts w:eastAsia="Times New Roman" w:cstheme="minorHAnsi"/>
        </w:rPr>
        <w:t xml:space="preserve">18 if </w:t>
      </w:r>
      <w:r w:rsidR="00641D02">
        <w:rPr>
          <w:rFonts w:eastAsia="Times New Roman" w:cstheme="minorHAnsi"/>
        </w:rPr>
        <w:t>their</w:t>
      </w:r>
      <w:r w:rsidR="00340BDA" w:rsidRPr="009844D1">
        <w:rPr>
          <w:rFonts w:eastAsia="Times New Roman" w:cstheme="minorHAnsi"/>
        </w:rPr>
        <w:t xml:space="preserve"> school or child care provider is closed or the child care provider is unavailable due to the COVID</w:t>
      </w:r>
      <w:r w:rsidR="00641D02">
        <w:rPr>
          <w:rFonts w:eastAsia="Times New Roman" w:cstheme="minorHAnsi"/>
        </w:rPr>
        <w:t>-</w:t>
      </w:r>
      <w:r w:rsidR="00340BDA" w:rsidRPr="009844D1">
        <w:rPr>
          <w:rFonts w:eastAsia="Times New Roman" w:cstheme="minorHAnsi"/>
        </w:rPr>
        <w:t xml:space="preserve">19 public health emergency.  </w:t>
      </w:r>
      <w:r w:rsidR="00340BDA">
        <w:t>The Expansion Act</w:t>
      </w:r>
      <w:r w:rsidR="006B78BD" w:rsidRPr="006B78BD">
        <w:t xml:space="preserve"> </w:t>
      </w:r>
      <w:r w:rsidR="001F2F39">
        <w:t>allows for the first 10 days of leave to be unpaid</w:t>
      </w:r>
      <w:r w:rsidR="00FD5205">
        <w:t>,</w:t>
      </w:r>
      <w:r w:rsidR="001F2F39">
        <w:t xml:space="preserve"> but</w:t>
      </w:r>
      <w:r w:rsidR="006B78BD" w:rsidRPr="006B78BD">
        <w:t xml:space="preserve"> weeks 3 through 12 of </w:t>
      </w:r>
      <w:r w:rsidR="00340BDA">
        <w:t>its</w:t>
      </w:r>
      <w:r w:rsidR="006B78BD" w:rsidRPr="006B78BD">
        <w:t xml:space="preserve"> effective </w:t>
      </w:r>
      <w:proofErr w:type="gramStart"/>
      <w:r w:rsidR="004452BE">
        <w:t>period</w:t>
      </w:r>
      <w:proofErr w:type="gramEnd"/>
      <w:r w:rsidR="004452BE">
        <w:t xml:space="preserve"> are required to be</w:t>
      </w:r>
      <w:r w:rsidR="006B78BD" w:rsidRPr="006B78BD">
        <w:t xml:space="preserve"> paid leave</w:t>
      </w:r>
      <w:r>
        <w:t>.  Full-time employees receive 2/3 of their regular pay and part-time employees receive a prorated amount</w:t>
      </w:r>
      <w:r w:rsidR="00340BDA">
        <w:t>.</w:t>
      </w:r>
      <w:r w:rsidR="001F2F39">
        <w:t xml:space="preserve">  </w:t>
      </w:r>
      <w:r w:rsidR="001F2F39">
        <w:rPr>
          <w:rFonts w:eastAsia="Times New Roman" w:cstheme="minorHAnsi"/>
        </w:rPr>
        <w:t>The Act includes limitations on the total amount of pay.</w:t>
      </w:r>
    </w:p>
    <w:p w14:paraId="65F495BE" w14:textId="240176C4" w:rsidR="009E250D" w:rsidRDefault="009E250D" w:rsidP="009844D1">
      <w:pPr>
        <w:pStyle w:val="ListParagraph"/>
        <w:spacing w:after="0" w:line="240" w:lineRule="auto"/>
        <w:jc w:val="both"/>
      </w:pPr>
    </w:p>
    <w:p w14:paraId="090E2E4D" w14:textId="47992C11" w:rsidR="009B1BE8" w:rsidRPr="009844D1" w:rsidRDefault="008106ED" w:rsidP="009844D1">
      <w:pPr>
        <w:pStyle w:val="NoSpacing"/>
        <w:ind w:left="720" w:hanging="360"/>
        <w:jc w:val="both"/>
        <w:rPr>
          <w:b/>
          <w:bCs/>
        </w:rPr>
      </w:pPr>
      <w:r>
        <w:rPr>
          <w:b/>
          <w:bCs/>
        </w:rPr>
        <w:t>4</w:t>
      </w:r>
      <w:r w:rsidR="009B1BE8" w:rsidRPr="009844D1">
        <w:rPr>
          <w:b/>
          <w:bCs/>
        </w:rPr>
        <w:t>.</w:t>
      </w:r>
      <w:r w:rsidR="009B1BE8" w:rsidRPr="009844D1">
        <w:rPr>
          <w:b/>
          <w:bCs/>
        </w:rPr>
        <w:tab/>
        <w:t>What is the Sick Leave Act?</w:t>
      </w:r>
    </w:p>
    <w:p w14:paraId="6A04365B" w14:textId="77777777" w:rsidR="009E250D" w:rsidRDefault="009E250D" w:rsidP="006E3000">
      <w:pPr>
        <w:pStyle w:val="NoSpacing"/>
        <w:ind w:left="1440"/>
        <w:jc w:val="both"/>
      </w:pPr>
    </w:p>
    <w:p w14:paraId="51866E5D" w14:textId="443FDA66" w:rsidR="009B1BE8" w:rsidRDefault="009B1BE8" w:rsidP="006E3000">
      <w:pPr>
        <w:pStyle w:val="NoSpacing"/>
        <w:ind w:left="720"/>
        <w:jc w:val="both"/>
      </w:pPr>
      <w:r>
        <w:t>The Sick Leave Act allows for</w:t>
      </w:r>
      <w:r w:rsidR="006B78BD" w:rsidRPr="006B78BD">
        <w:t xml:space="preserve"> 2 weeks of paid sick leave for </w:t>
      </w:r>
      <w:r w:rsidR="00120899">
        <w:t>employees, regardless of length of employment, if an employee is unable to work or telework for specified events</w:t>
      </w:r>
      <w:r w:rsidRPr="006B78BD">
        <w:t xml:space="preserve"> </w:t>
      </w:r>
      <w:r w:rsidR="006B78BD" w:rsidRPr="006B78BD">
        <w:t xml:space="preserve">related to </w:t>
      </w:r>
      <w:r>
        <w:t>COVID-19.</w:t>
      </w:r>
      <w:r w:rsidR="00120899">
        <w:t xml:space="preserve">  The events are:</w:t>
      </w:r>
    </w:p>
    <w:p w14:paraId="0876A4DE" w14:textId="7C095971" w:rsidR="00120899" w:rsidRPr="009844D1" w:rsidRDefault="00120899" w:rsidP="009844D1">
      <w:pPr>
        <w:pStyle w:val="ListParagraph"/>
        <w:numPr>
          <w:ilvl w:val="0"/>
          <w:numId w:val="12"/>
        </w:numPr>
        <w:spacing w:before="100" w:beforeAutospacing="1" w:after="100" w:afterAutospacing="1" w:line="240" w:lineRule="auto"/>
        <w:jc w:val="both"/>
        <w:rPr>
          <w:rFonts w:cstheme="minorHAnsi"/>
          <w:color w:val="202020"/>
        </w:rPr>
      </w:pPr>
      <w:r w:rsidRPr="009844D1">
        <w:rPr>
          <w:rFonts w:cstheme="minorHAnsi"/>
          <w:color w:val="202020"/>
        </w:rPr>
        <w:t>The employee is subject to a federal, state, or local quarantine or isolation order related to COVID-19; or</w:t>
      </w:r>
    </w:p>
    <w:p w14:paraId="4A9F7AE4" w14:textId="0636DE94" w:rsidR="00120899" w:rsidRPr="009844D1" w:rsidRDefault="00120899" w:rsidP="009844D1">
      <w:pPr>
        <w:pStyle w:val="ListParagraph"/>
        <w:numPr>
          <w:ilvl w:val="0"/>
          <w:numId w:val="12"/>
        </w:numPr>
        <w:spacing w:before="100" w:beforeAutospacing="1" w:after="100" w:afterAutospacing="1" w:line="240" w:lineRule="auto"/>
        <w:jc w:val="both"/>
        <w:rPr>
          <w:rFonts w:cstheme="minorHAnsi"/>
          <w:color w:val="202020"/>
        </w:rPr>
      </w:pPr>
      <w:r w:rsidRPr="009844D1">
        <w:rPr>
          <w:rFonts w:cstheme="minorHAnsi"/>
          <w:color w:val="202020"/>
        </w:rPr>
        <w:t>The employee has been advised by a health care provider to self-quarantine due to concerns related to COVID-19; or</w:t>
      </w:r>
    </w:p>
    <w:p w14:paraId="633A570A" w14:textId="1DF48E6E" w:rsidR="00120899" w:rsidRPr="009844D1" w:rsidRDefault="00120899" w:rsidP="009844D1">
      <w:pPr>
        <w:pStyle w:val="ListParagraph"/>
        <w:numPr>
          <w:ilvl w:val="0"/>
          <w:numId w:val="12"/>
        </w:numPr>
        <w:spacing w:before="100" w:beforeAutospacing="1" w:after="100" w:afterAutospacing="1" w:line="240" w:lineRule="auto"/>
        <w:jc w:val="both"/>
        <w:rPr>
          <w:rFonts w:cstheme="minorHAnsi"/>
          <w:color w:val="202020"/>
        </w:rPr>
      </w:pPr>
      <w:r w:rsidRPr="009844D1">
        <w:rPr>
          <w:rFonts w:cstheme="minorHAnsi"/>
          <w:color w:val="202020"/>
        </w:rPr>
        <w:t>The employee is experiencing symptoms of COVID-19 and seeking a medical diagnosis; or</w:t>
      </w:r>
    </w:p>
    <w:p w14:paraId="502A0F25" w14:textId="77777777" w:rsidR="00120899" w:rsidRPr="009844D1" w:rsidRDefault="00120899" w:rsidP="009844D1">
      <w:pPr>
        <w:numPr>
          <w:ilvl w:val="0"/>
          <w:numId w:val="12"/>
        </w:numPr>
        <w:spacing w:before="100" w:beforeAutospacing="1" w:after="100" w:afterAutospacing="1" w:line="240" w:lineRule="auto"/>
        <w:contextualSpacing/>
        <w:jc w:val="both"/>
        <w:rPr>
          <w:rFonts w:cstheme="minorHAnsi"/>
          <w:color w:val="202020"/>
        </w:rPr>
      </w:pPr>
      <w:r w:rsidRPr="009844D1">
        <w:rPr>
          <w:rFonts w:cstheme="minorHAnsi"/>
          <w:color w:val="202020"/>
        </w:rPr>
        <w:t>The employee is caring for an individual who is subject to a quarantine or isolation order related to COVID-19 or an individual that has been advised by a health care provider to self-quarantine due to concerns related to COVID-19; or</w:t>
      </w:r>
    </w:p>
    <w:p w14:paraId="7893E996" w14:textId="2D2FCB39" w:rsidR="00120899" w:rsidRDefault="00120899" w:rsidP="009844D1">
      <w:pPr>
        <w:numPr>
          <w:ilvl w:val="0"/>
          <w:numId w:val="12"/>
        </w:numPr>
        <w:spacing w:before="100" w:beforeAutospacing="1" w:after="100" w:afterAutospacing="1" w:line="240" w:lineRule="auto"/>
        <w:contextualSpacing/>
        <w:jc w:val="both"/>
        <w:rPr>
          <w:rFonts w:cstheme="minorHAnsi"/>
          <w:color w:val="202020"/>
        </w:rPr>
      </w:pPr>
      <w:r w:rsidRPr="009844D1">
        <w:rPr>
          <w:rFonts w:cstheme="minorHAnsi"/>
          <w:color w:val="202020"/>
        </w:rPr>
        <w:t>The employee is caring for his or her son or daughter if the</w:t>
      </w:r>
      <w:r w:rsidR="00641D02">
        <w:rPr>
          <w:rFonts w:cstheme="minorHAnsi"/>
          <w:color w:val="202020"/>
        </w:rPr>
        <w:t>ir</w:t>
      </w:r>
      <w:r w:rsidRPr="009844D1">
        <w:rPr>
          <w:rFonts w:cstheme="minorHAnsi"/>
          <w:color w:val="202020"/>
        </w:rPr>
        <w:t xml:space="preserve"> school or </w:t>
      </w:r>
      <w:r w:rsidR="00641D02">
        <w:rPr>
          <w:rFonts w:cstheme="minorHAnsi"/>
          <w:color w:val="202020"/>
        </w:rPr>
        <w:t>childcare provider</w:t>
      </w:r>
      <w:r w:rsidRPr="009844D1">
        <w:rPr>
          <w:rFonts w:cstheme="minorHAnsi"/>
          <w:color w:val="202020"/>
        </w:rPr>
        <w:t xml:space="preserve"> has been closed or the childcare provider is unavailable due to COVID-19 precautions; or</w:t>
      </w:r>
    </w:p>
    <w:p w14:paraId="61184E12" w14:textId="52227D36" w:rsidR="00120899" w:rsidRDefault="00FD5205" w:rsidP="009844D1">
      <w:pPr>
        <w:numPr>
          <w:ilvl w:val="0"/>
          <w:numId w:val="12"/>
        </w:numPr>
        <w:spacing w:before="100" w:beforeAutospacing="1" w:after="100" w:afterAutospacing="1" w:line="240" w:lineRule="auto"/>
        <w:contextualSpacing/>
        <w:jc w:val="both"/>
      </w:pPr>
      <w:r>
        <w:rPr>
          <w:rFonts w:cstheme="minorHAnsi"/>
          <w:color w:val="202020"/>
        </w:rPr>
        <w:t>T</w:t>
      </w:r>
      <w:r w:rsidR="00120899" w:rsidRPr="009844D1">
        <w:rPr>
          <w:rFonts w:cstheme="minorHAnsi"/>
          <w:color w:val="202020"/>
        </w:rPr>
        <w:t>he employee is experiencing “any other substantially similar condition specified by the secretary of Health and Human Services in consultation</w:t>
      </w:r>
      <w:r w:rsidR="003D3427">
        <w:rPr>
          <w:rFonts w:cstheme="minorHAnsi"/>
          <w:color w:val="202020"/>
        </w:rPr>
        <w:t xml:space="preserve"> with the Secretary of the Treasury and the Secretary of Labor.</w:t>
      </w:r>
      <w:r w:rsidR="003D3427">
        <w:t xml:space="preserve"> </w:t>
      </w:r>
    </w:p>
    <w:p w14:paraId="35468156" w14:textId="1C9B1D58" w:rsidR="00120899" w:rsidRPr="009844D1" w:rsidRDefault="00120899" w:rsidP="009844D1">
      <w:pPr>
        <w:pStyle w:val="ListParagraph"/>
        <w:spacing w:after="0" w:line="240" w:lineRule="auto"/>
        <w:jc w:val="both"/>
        <w:rPr>
          <w:rFonts w:eastAsia="Times New Roman" w:cstheme="minorHAnsi"/>
        </w:rPr>
      </w:pPr>
      <w:r w:rsidRPr="009844D1">
        <w:rPr>
          <w:rFonts w:eastAsia="Times New Roman" w:cstheme="minorHAnsi"/>
        </w:rPr>
        <w:t>Full</w:t>
      </w:r>
      <w:r w:rsidR="0087224A">
        <w:rPr>
          <w:rFonts w:eastAsia="Times New Roman" w:cstheme="minorHAnsi"/>
        </w:rPr>
        <w:t>-</w:t>
      </w:r>
      <w:r w:rsidRPr="009844D1">
        <w:rPr>
          <w:rFonts w:eastAsia="Times New Roman" w:cstheme="minorHAnsi"/>
        </w:rPr>
        <w:t>time employees are entitled to 80 hours of paid sick leave and part</w:t>
      </w:r>
      <w:r w:rsidR="0087224A">
        <w:rPr>
          <w:rFonts w:eastAsia="Times New Roman" w:cstheme="minorHAnsi"/>
        </w:rPr>
        <w:t>-</w:t>
      </w:r>
      <w:r w:rsidRPr="009844D1">
        <w:rPr>
          <w:rFonts w:eastAsia="Times New Roman" w:cstheme="minorHAnsi"/>
        </w:rPr>
        <w:t xml:space="preserve">time employees are entitled to the number of hours </w:t>
      </w:r>
      <w:r w:rsidR="0087224A">
        <w:rPr>
          <w:rFonts w:eastAsia="Times New Roman" w:cstheme="minorHAnsi"/>
        </w:rPr>
        <w:t>(</w:t>
      </w:r>
      <w:r w:rsidRPr="009844D1">
        <w:rPr>
          <w:rFonts w:eastAsia="Times New Roman" w:cstheme="minorHAnsi"/>
        </w:rPr>
        <w:t>s</w:t>
      </w:r>
      <w:r w:rsidR="0087224A">
        <w:rPr>
          <w:rFonts w:eastAsia="Times New Roman" w:cstheme="minorHAnsi"/>
        </w:rPr>
        <w:t>)</w:t>
      </w:r>
      <w:r w:rsidRPr="009844D1">
        <w:rPr>
          <w:rFonts w:eastAsia="Times New Roman" w:cstheme="minorHAnsi"/>
        </w:rPr>
        <w:t xml:space="preserve">he works on average over a two-week period.  Employees may, but are not be required to, use paid leave time before this emergency paid sick time is applied.  </w:t>
      </w:r>
      <w:r>
        <w:rPr>
          <w:rFonts w:eastAsia="Times New Roman" w:cstheme="minorHAnsi"/>
        </w:rPr>
        <w:t>The Act includes limitations on the total amount of pay.</w:t>
      </w:r>
    </w:p>
    <w:p w14:paraId="45509E52" w14:textId="77777777" w:rsidR="00E65A79" w:rsidRDefault="00E65A79" w:rsidP="009844D1">
      <w:pPr>
        <w:pStyle w:val="NoSpacing"/>
        <w:ind w:left="720"/>
        <w:jc w:val="both"/>
      </w:pPr>
    </w:p>
    <w:p w14:paraId="17BCB295" w14:textId="77777777" w:rsidR="00120899" w:rsidRDefault="00120899" w:rsidP="009844D1">
      <w:pPr>
        <w:pStyle w:val="NoSpacing"/>
        <w:jc w:val="both"/>
      </w:pPr>
    </w:p>
    <w:p w14:paraId="0BAD2B89" w14:textId="596686AD" w:rsidR="009E250D" w:rsidRPr="009844D1" w:rsidRDefault="008106ED" w:rsidP="009844D1">
      <w:pPr>
        <w:pStyle w:val="NoSpacing"/>
        <w:keepNext/>
        <w:keepLines/>
        <w:ind w:left="720" w:hanging="360"/>
        <w:jc w:val="both"/>
        <w:rPr>
          <w:b/>
          <w:bCs/>
        </w:rPr>
      </w:pPr>
      <w:r>
        <w:rPr>
          <w:b/>
          <w:bCs/>
        </w:rPr>
        <w:lastRenderedPageBreak/>
        <w:t>5</w:t>
      </w:r>
      <w:r w:rsidR="009B1BE8" w:rsidRPr="009844D1">
        <w:rPr>
          <w:b/>
          <w:bCs/>
        </w:rPr>
        <w:t>.</w:t>
      </w:r>
      <w:r w:rsidR="009B1BE8" w:rsidRPr="009844D1">
        <w:rPr>
          <w:b/>
          <w:bCs/>
        </w:rPr>
        <w:tab/>
        <w:t>Is there any reimbursement to employers for payments required by the Expansion Act or Sick Leave Act?</w:t>
      </w:r>
      <w:r w:rsidR="006B78BD" w:rsidRPr="009844D1">
        <w:rPr>
          <w:b/>
          <w:bCs/>
        </w:rPr>
        <w:t xml:space="preserve"> </w:t>
      </w:r>
    </w:p>
    <w:p w14:paraId="0A9B5F18" w14:textId="77777777" w:rsidR="009E250D" w:rsidRDefault="009E250D" w:rsidP="009844D1">
      <w:pPr>
        <w:pStyle w:val="NoSpacing"/>
        <w:keepNext/>
        <w:keepLines/>
        <w:jc w:val="both"/>
      </w:pPr>
    </w:p>
    <w:p w14:paraId="0AD4334D" w14:textId="5F21561C" w:rsidR="006B78BD" w:rsidRDefault="009B1BE8" w:rsidP="009844D1">
      <w:pPr>
        <w:pStyle w:val="NoSpacing"/>
        <w:keepNext/>
        <w:keepLines/>
        <w:ind w:left="720"/>
        <w:jc w:val="both"/>
      </w:pPr>
      <w:r>
        <w:t>The FFCRA pr</w:t>
      </w:r>
      <w:r w:rsidR="006B78BD" w:rsidRPr="006B78BD">
        <w:t xml:space="preserve">ovides </w:t>
      </w:r>
      <w:r>
        <w:t>private sector employers with</w:t>
      </w:r>
      <w:r w:rsidRPr="006B78BD">
        <w:t xml:space="preserve"> </w:t>
      </w:r>
      <w:r w:rsidR="006B78BD" w:rsidRPr="006B78BD">
        <w:t xml:space="preserve">tax credits related to the paid leave provisions created by the </w:t>
      </w:r>
      <w:r w:rsidR="00A424FC">
        <w:t>A</w:t>
      </w:r>
      <w:r w:rsidR="00A424FC" w:rsidRPr="006B78BD">
        <w:t>ct</w:t>
      </w:r>
      <w:r w:rsidR="006B78BD" w:rsidRPr="006B78BD">
        <w:t xml:space="preserve">. </w:t>
      </w:r>
    </w:p>
    <w:p w14:paraId="4E2F489D" w14:textId="77777777" w:rsidR="006605D0" w:rsidRPr="009E250D" w:rsidRDefault="006605D0" w:rsidP="006E3000">
      <w:pPr>
        <w:pStyle w:val="NoSpacing"/>
        <w:ind w:left="1440"/>
        <w:jc w:val="both"/>
      </w:pPr>
    </w:p>
    <w:p w14:paraId="242CDD57" w14:textId="1CF14704" w:rsidR="009B40CA" w:rsidRPr="00B13D96" w:rsidRDefault="008106ED" w:rsidP="009844D1">
      <w:pPr>
        <w:pStyle w:val="NoSpacing"/>
        <w:ind w:left="720" w:hanging="360"/>
        <w:jc w:val="both"/>
        <w:rPr>
          <w:b/>
          <w:bCs/>
        </w:rPr>
      </w:pPr>
      <w:r>
        <w:rPr>
          <w:b/>
          <w:bCs/>
        </w:rPr>
        <w:t>6</w:t>
      </w:r>
      <w:r w:rsidR="009B1BE8">
        <w:rPr>
          <w:b/>
          <w:bCs/>
        </w:rPr>
        <w:t>.</w:t>
      </w:r>
      <w:r w:rsidR="009B1BE8">
        <w:rPr>
          <w:b/>
          <w:bCs/>
        </w:rPr>
        <w:tab/>
        <w:t>Are any workers exempt from benefits under the Expansion Act or the Sick Leave Act</w:t>
      </w:r>
      <w:r w:rsidR="009B40CA" w:rsidRPr="00B13D96">
        <w:rPr>
          <w:b/>
          <w:bCs/>
        </w:rPr>
        <w:t>?</w:t>
      </w:r>
    </w:p>
    <w:p w14:paraId="74205F85" w14:textId="18FD59B2" w:rsidR="009B40CA" w:rsidRDefault="009B40CA" w:rsidP="006E3000">
      <w:pPr>
        <w:pStyle w:val="NoSpacing"/>
        <w:ind w:left="1080"/>
        <w:jc w:val="both"/>
      </w:pPr>
    </w:p>
    <w:p w14:paraId="4BD46D7A" w14:textId="0A6DA36B" w:rsidR="009B40CA" w:rsidRDefault="00CB6E24" w:rsidP="009844D1">
      <w:pPr>
        <w:pStyle w:val="NoSpacing"/>
        <w:ind w:left="720"/>
        <w:jc w:val="both"/>
      </w:pPr>
      <w:r w:rsidRPr="00E659A0">
        <w:t>Under both the Expansion Act and the Sick Leave Act, t</w:t>
      </w:r>
      <w:r w:rsidR="00120899" w:rsidRPr="00E659A0">
        <w:t>he</w:t>
      </w:r>
      <w:r w:rsidR="00454F66">
        <w:t xml:space="preserve"> Department of Labor</w:t>
      </w:r>
      <w:r w:rsidR="009B40CA" w:rsidRPr="009B40CA">
        <w:t xml:space="preserve"> can “issue regulations for good cause . . . to exclude certain health care providers and emergency responders.”</w:t>
      </w:r>
      <w:r w:rsidR="009B1BE8">
        <w:t xml:space="preserve">  </w:t>
      </w:r>
    </w:p>
    <w:p w14:paraId="46A25AB4" w14:textId="77777777" w:rsidR="009B40CA" w:rsidRPr="009B40CA" w:rsidRDefault="009B40CA" w:rsidP="006E3000">
      <w:pPr>
        <w:pStyle w:val="NoSpacing"/>
        <w:ind w:left="720"/>
        <w:jc w:val="both"/>
      </w:pPr>
    </w:p>
    <w:p w14:paraId="7C8200DB" w14:textId="1413DAA8" w:rsidR="009B40CA" w:rsidRDefault="008106ED" w:rsidP="009844D1">
      <w:pPr>
        <w:pStyle w:val="ListParagraph"/>
        <w:jc w:val="both"/>
      </w:pPr>
      <w:r w:rsidRPr="00E659A0">
        <w:t>U</w:t>
      </w:r>
      <w:r w:rsidR="00CB6E24" w:rsidRPr="00E659A0">
        <w:t>nder the Expansion Act,</w:t>
      </w:r>
      <w:r w:rsidR="00CB6E24">
        <w:t xml:space="preserve"> </w:t>
      </w:r>
      <w:r w:rsidR="009B40CA" w:rsidRPr="009B40CA">
        <w:t>“</w:t>
      </w:r>
      <w:r w:rsidR="00A424FC">
        <w:t>[a]</w:t>
      </w:r>
      <w:r w:rsidR="009B40CA" w:rsidRPr="009B40CA">
        <w:t xml:space="preserve">n employer of an employee who is a </w:t>
      </w:r>
      <w:r w:rsidR="009B40CA" w:rsidRPr="009844D1">
        <w:t>health care provider</w:t>
      </w:r>
      <w:r w:rsidR="009B40CA" w:rsidRPr="000E297E">
        <w:rPr>
          <w:b/>
          <w:bCs/>
        </w:rPr>
        <w:t xml:space="preserve"> </w:t>
      </w:r>
      <w:r w:rsidR="009B40CA" w:rsidRPr="009B40CA">
        <w:t xml:space="preserve">or an </w:t>
      </w:r>
      <w:r w:rsidR="009B40CA" w:rsidRPr="009844D1">
        <w:t>emergency responder</w:t>
      </w:r>
      <w:r w:rsidR="009B40CA" w:rsidRPr="009B40CA">
        <w:t xml:space="preserve"> may elect to exclude such employee from the application of the provisions</w:t>
      </w:r>
      <w:r>
        <w:t>” of the Expansion Act.</w:t>
      </w:r>
    </w:p>
    <w:p w14:paraId="6B2ADD40" w14:textId="0AE5FDEF" w:rsidR="009B40CA" w:rsidRDefault="008106ED" w:rsidP="009844D1">
      <w:pPr>
        <w:pStyle w:val="NoSpacing"/>
        <w:ind w:left="720" w:hanging="360"/>
        <w:jc w:val="both"/>
      </w:pPr>
      <w:r>
        <w:rPr>
          <w:b/>
          <w:bCs/>
        </w:rPr>
        <w:t>7</w:t>
      </w:r>
      <w:r w:rsidR="009B1BE8">
        <w:rPr>
          <w:b/>
          <w:bCs/>
        </w:rPr>
        <w:t>.</w:t>
      </w:r>
      <w:r w:rsidR="009B1BE8">
        <w:rPr>
          <w:b/>
          <w:bCs/>
        </w:rPr>
        <w:tab/>
        <w:t xml:space="preserve">What is a </w:t>
      </w:r>
      <w:r w:rsidR="000E297E" w:rsidRPr="000E297E">
        <w:rPr>
          <w:b/>
          <w:bCs/>
        </w:rPr>
        <w:t>“</w:t>
      </w:r>
      <w:r w:rsidR="009B1BE8">
        <w:rPr>
          <w:b/>
          <w:bCs/>
        </w:rPr>
        <w:t>h</w:t>
      </w:r>
      <w:r w:rsidR="000E297E" w:rsidRPr="000E297E">
        <w:rPr>
          <w:b/>
          <w:bCs/>
        </w:rPr>
        <w:t>ealth care provider</w:t>
      </w:r>
      <w:r w:rsidR="000E297E" w:rsidRPr="00120899">
        <w:rPr>
          <w:b/>
          <w:bCs/>
        </w:rPr>
        <w:t>”</w:t>
      </w:r>
      <w:r w:rsidR="009B1BE8" w:rsidRPr="009844D1">
        <w:rPr>
          <w:b/>
          <w:bCs/>
        </w:rPr>
        <w:t xml:space="preserve"> under the Act?</w:t>
      </w:r>
    </w:p>
    <w:p w14:paraId="24670D8D" w14:textId="77777777" w:rsidR="009B40CA" w:rsidRDefault="009B40CA" w:rsidP="006E3000">
      <w:pPr>
        <w:pStyle w:val="NoSpacing"/>
        <w:ind w:left="1440"/>
        <w:jc w:val="both"/>
      </w:pPr>
    </w:p>
    <w:p w14:paraId="5A5C7979" w14:textId="77777777" w:rsidR="00641D02" w:rsidRPr="00845BA4" w:rsidRDefault="00641D02" w:rsidP="00641D02">
      <w:pPr>
        <w:pStyle w:val="NoSpacing"/>
        <w:ind w:left="720"/>
        <w:jc w:val="both"/>
      </w:pPr>
      <w:r w:rsidRPr="00845BA4">
        <w:t>The</w:t>
      </w:r>
      <w:r>
        <w:t xml:space="preserve"> U.S.</w:t>
      </w:r>
      <w:r w:rsidRPr="00845BA4">
        <w:t xml:space="preserve"> Department of Labor has </w:t>
      </w:r>
      <w:r>
        <w:t>issued</w:t>
      </w:r>
      <w:r w:rsidRPr="00845BA4">
        <w:t xml:space="preserve"> the following guidance on what the term “health care provider” </w:t>
      </w:r>
      <w:r>
        <w:t>means:</w:t>
      </w:r>
      <w:r w:rsidRPr="00845BA4">
        <w:t xml:space="preserve">  </w:t>
      </w:r>
    </w:p>
    <w:p w14:paraId="28AD082D" w14:textId="77777777" w:rsidR="00641D02" w:rsidRPr="00845BA4" w:rsidRDefault="00641D02" w:rsidP="00641D02">
      <w:pPr>
        <w:pStyle w:val="NormalWeb"/>
        <w:spacing w:after="300"/>
        <w:ind w:left="1440" w:right="864"/>
        <w:jc w:val="both"/>
        <w:rPr>
          <w:rFonts w:asciiTheme="minorHAnsi" w:hAnsiTheme="minorHAnsi" w:cstheme="minorHAnsi"/>
          <w:color w:val="212121"/>
          <w:sz w:val="22"/>
          <w:szCs w:val="22"/>
        </w:rPr>
      </w:pPr>
      <w:r w:rsidRPr="00845BA4">
        <w:rPr>
          <w:rFonts w:asciiTheme="minorHAnsi" w:hAnsiTheme="minorHAnsi" w:cstheme="minorHAnsi"/>
          <w:color w:val="212121"/>
          <w:sz w:val="22"/>
          <w:szCs w:val="22"/>
        </w:rPr>
        <w:t>[A] health care provider is anyone employed at any doctor</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office, hospital, health care center, clinic, post-secondary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w:t>
      </w:r>
      <w:r w:rsidRPr="00845BA4">
        <w:rPr>
          <w:rFonts w:asciiTheme="minorHAnsi" w:hAnsiTheme="minorHAnsi" w:cstheme="minorHAnsi" w:hint="eastAsia"/>
          <w:color w:val="212121"/>
          <w:sz w:val="22"/>
          <w:szCs w:val="22"/>
        </w:rPr>
        <w:t> </w:t>
      </w:r>
      <w:r w:rsidRPr="00845BA4">
        <w:rPr>
          <w:rFonts w:asciiTheme="minorHAnsi" w:hAnsiTheme="minorHAnsi" w:cstheme="minorHAnsi"/>
          <w:color w:val="212121"/>
          <w:sz w:val="22"/>
          <w:szCs w:val="22"/>
        </w:rPr>
        <w:t>This includes any permanent or temporary institution, facility, location, or site where medical services are provided that are similar to such institutions.</w:t>
      </w:r>
      <w:r w:rsidRPr="00845BA4">
        <w:rPr>
          <w:rFonts w:asciiTheme="minorHAnsi" w:hAnsiTheme="minorHAnsi" w:cstheme="minorHAnsi" w:hint="eastAsia"/>
          <w:color w:val="212121"/>
          <w:sz w:val="22"/>
          <w:szCs w:val="22"/>
        </w:rPr>
        <w:t> </w:t>
      </w:r>
    </w:p>
    <w:p w14:paraId="111F6B6F" w14:textId="77777777" w:rsidR="00641D02" w:rsidRPr="00845BA4" w:rsidRDefault="00641D02" w:rsidP="00641D02">
      <w:pPr>
        <w:pStyle w:val="NormalWeb"/>
        <w:spacing w:after="300"/>
        <w:ind w:left="1440" w:right="864"/>
        <w:jc w:val="both"/>
        <w:rPr>
          <w:rFonts w:asciiTheme="minorHAnsi" w:hAnsiTheme="minorHAnsi" w:cstheme="minorHAnsi"/>
          <w:color w:val="212121"/>
          <w:sz w:val="22"/>
          <w:szCs w:val="22"/>
        </w:rPr>
      </w:pPr>
      <w:r w:rsidRPr="00845BA4">
        <w:rPr>
          <w:rFonts w:asciiTheme="minorHAnsi" w:hAnsiTheme="minorHAnsi" w:cstheme="minorHAnsi"/>
          <w:color w:val="212121"/>
          <w:sz w:val="22"/>
          <w:szCs w:val="22"/>
        </w:rPr>
        <w:t>This definition includes any individual employed by an entity that contracts with any of the above institutions, employers, or entities institutions to provide services or to maintain the operation of the facility. This also includes anyone employed by any entity that provides medical services, produces medical products, or is otherwise involved in the making of COVID-19 related medical equipment, tests, drugs, vaccines, diagnostic vehicles, or treatments. This also includes any individual that the highest official of a state or territory, including the District of Columbia, determines is a health care provider necessary for that state</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or territory</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or the District of Columbia</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response to COVID-19.</w:t>
      </w:r>
    </w:p>
    <w:p w14:paraId="59E951C1" w14:textId="79F018C3" w:rsidR="00BA7EF3" w:rsidRDefault="00A21DC4" w:rsidP="009844D1">
      <w:pPr>
        <w:pStyle w:val="ListParagraph"/>
        <w:jc w:val="both"/>
      </w:pPr>
      <w:hyperlink r:id="rId10" w:history="1">
        <w:r w:rsidR="00641D02" w:rsidRPr="00865A10">
          <w:rPr>
            <w:rStyle w:val="Hyperlink"/>
          </w:rPr>
          <w:t>https://www.dol.gov/agencies/whd/pandemic/ffcra-questions</w:t>
        </w:r>
      </w:hyperlink>
      <w:r w:rsidR="00641D02">
        <w:t xml:space="preserve"> - see question 56.</w:t>
      </w:r>
      <w:r w:rsidR="0021117F">
        <w:t xml:space="preserve"> </w:t>
      </w:r>
    </w:p>
    <w:p w14:paraId="7720172E" w14:textId="0AF2D805" w:rsidR="009B1BE8" w:rsidRDefault="008106ED" w:rsidP="009844D1">
      <w:pPr>
        <w:pStyle w:val="NoSpacing"/>
        <w:ind w:left="720" w:hanging="360"/>
        <w:jc w:val="both"/>
      </w:pPr>
      <w:r>
        <w:rPr>
          <w:b/>
          <w:bCs/>
        </w:rPr>
        <w:t>8</w:t>
      </w:r>
      <w:r w:rsidR="009B1BE8">
        <w:rPr>
          <w:b/>
          <w:bCs/>
        </w:rPr>
        <w:t>.</w:t>
      </w:r>
      <w:r w:rsidR="009B1BE8">
        <w:rPr>
          <w:b/>
          <w:bCs/>
        </w:rPr>
        <w:tab/>
        <w:t xml:space="preserve">What is an </w:t>
      </w:r>
      <w:r w:rsidR="000E297E" w:rsidRPr="000E297E">
        <w:rPr>
          <w:b/>
          <w:bCs/>
        </w:rPr>
        <w:t>“</w:t>
      </w:r>
      <w:r w:rsidR="009B1BE8">
        <w:rPr>
          <w:b/>
          <w:bCs/>
        </w:rPr>
        <w:t>e</w:t>
      </w:r>
      <w:r w:rsidR="000E297E" w:rsidRPr="000E297E">
        <w:rPr>
          <w:b/>
          <w:bCs/>
        </w:rPr>
        <w:t>mergency responder</w:t>
      </w:r>
      <w:r w:rsidR="000E297E" w:rsidRPr="004D0147">
        <w:rPr>
          <w:b/>
          <w:bCs/>
        </w:rPr>
        <w:t>”</w:t>
      </w:r>
      <w:r w:rsidR="000E297E" w:rsidRPr="009844D1">
        <w:rPr>
          <w:b/>
          <w:bCs/>
        </w:rPr>
        <w:t xml:space="preserve"> </w:t>
      </w:r>
      <w:r w:rsidR="009B1BE8" w:rsidRPr="009844D1">
        <w:rPr>
          <w:b/>
          <w:bCs/>
        </w:rPr>
        <w:t>under the Act?</w:t>
      </w:r>
    </w:p>
    <w:p w14:paraId="452A1FE1" w14:textId="77777777" w:rsidR="009B1BE8" w:rsidRDefault="009B1BE8" w:rsidP="006E3000">
      <w:pPr>
        <w:pStyle w:val="NoSpacing"/>
        <w:ind w:left="1080"/>
        <w:jc w:val="both"/>
      </w:pPr>
    </w:p>
    <w:p w14:paraId="3BCA7334" w14:textId="77777777" w:rsidR="00641D02" w:rsidRPr="007E0DD0" w:rsidRDefault="00641D02" w:rsidP="00641D02">
      <w:pPr>
        <w:pStyle w:val="NoSpacing"/>
        <w:ind w:left="720"/>
        <w:jc w:val="both"/>
      </w:pPr>
      <w:r w:rsidRPr="007E0DD0">
        <w:t xml:space="preserve">The </w:t>
      </w:r>
      <w:r>
        <w:t xml:space="preserve">U.S. </w:t>
      </w:r>
      <w:r w:rsidRPr="007E0DD0">
        <w:t xml:space="preserve">Department of Labor has </w:t>
      </w:r>
      <w:r>
        <w:t>issued</w:t>
      </w:r>
      <w:r w:rsidRPr="007E0DD0">
        <w:t xml:space="preserve"> the following guidance on what the term “</w:t>
      </w:r>
      <w:r>
        <w:t>emergency responder</w:t>
      </w:r>
      <w:r w:rsidRPr="007E0DD0">
        <w:t xml:space="preserve">” </w:t>
      </w:r>
      <w:r>
        <w:t>means:</w:t>
      </w:r>
      <w:r w:rsidRPr="007E0DD0">
        <w:t xml:space="preserve">  </w:t>
      </w:r>
    </w:p>
    <w:p w14:paraId="60B253AD" w14:textId="77777777" w:rsidR="00641D02" w:rsidRPr="00845BA4" w:rsidRDefault="00641D02" w:rsidP="00641D02">
      <w:pPr>
        <w:pStyle w:val="NormalWeb"/>
        <w:spacing w:after="300"/>
        <w:ind w:left="1440" w:right="864"/>
        <w:jc w:val="both"/>
        <w:rPr>
          <w:rFonts w:asciiTheme="minorHAnsi" w:hAnsiTheme="minorHAnsi" w:cstheme="minorHAnsi"/>
          <w:color w:val="212121"/>
          <w:sz w:val="22"/>
          <w:szCs w:val="22"/>
        </w:rPr>
      </w:pPr>
      <w:r>
        <w:rPr>
          <w:rFonts w:asciiTheme="minorHAnsi" w:hAnsiTheme="minorHAnsi" w:cstheme="minorHAnsi"/>
          <w:color w:val="212121"/>
          <w:sz w:val="22"/>
          <w:szCs w:val="22"/>
        </w:rPr>
        <w:t>[</w:t>
      </w:r>
      <w:r w:rsidRPr="00845BA4">
        <w:rPr>
          <w:rFonts w:asciiTheme="minorHAnsi" w:hAnsiTheme="minorHAnsi" w:cstheme="minorHAnsi"/>
          <w:color w:val="212121"/>
          <w:sz w:val="22"/>
          <w:szCs w:val="22"/>
        </w:rPr>
        <w:t>a</w:t>
      </w:r>
      <w:r>
        <w:rPr>
          <w:rFonts w:asciiTheme="minorHAnsi" w:hAnsiTheme="minorHAnsi" w:cstheme="minorHAnsi"/>
          <w:color w:val="212121"/>
          <w:sz w:val="22"/>
          <w:szCs w:val="22"/>
        </w:rPr>
        <w:t>]</w:t>
      </w:r>
      <w:r w:rsidRPr="00845BA4">
        <w:rPr>
          <w:rFonts w:asciiTheme="minorHAnsi" w:hAnsiTheme="minorHAnsi" w:cstheme="minorHAnsi"/>
          <w:color w:val="212121"/>
          <w:sz w:val="22"/>
          <w:szCs w:val="22"/>
        </w:rPr>
        <w:t xml:space="preserve">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w:t>
      </w:r>
      <w:r w:rsidRPr="00845BA4">
        <w:rPr>
          <w:rFonts w:asciiTheme="minorHAnsi" w:hAnsiTheme="minorHAnsi" w:cstheme="minorHAnsi"/>
          <w:color w:val="212121"/>
          <w:sz w:val="22"/>
          <w:szCs w:val="22"/>
        </w:rPr>
        <w:lastRenderedPageBreak/>
        <w:t>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or territory</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or the District of Columbia</w:t>
      </w:r>
      <w:r w:rsidRPr="00845BA4">
        <w:rPr>
          <w:rFonts w:asciiTheme="minorHAnsi" w:hAnsiTheme="minorHAnsi" w:cstheme="minorHAnsi" w:hint="eastAsia"/>
          <w:color w:val="212121"/>
          <w:sz w:val="22"/>
          <w:szCs w:val="22"/>
        </w:rPr>
        <w:t>’</w:t>
      </w:r>
      <w:r w:rsidRPr="00845BA4">
        <w:rPr>
          <w:rFonts w:asciiTheme="minorHAnsi" w:hAnsiTheme="minorHAnsi" w:cstheme="minorHAnsi"/>
          <w:color w:val="212121"/>
          <w:sz w:val="22"/>
          <w:szCs w:val="22"/>
        </w:rPr>
        <w:t>s response to COVID-19.</w:t>
      </w:r>
    </w:p>
    <w:p w14:paraId="3441001F" w14:textId="77777777" w:rsidR="00641D02" w:rsidRPr="00845BA4" w:rsidRDefault="00641D02" w:rsidP="00641D02">
      <w:pPr>
        <w:pStyle w:val="NormalWeb"/>
        <w:spacing w:after="300"/>
        <w:ind w:left="1440" w:right="864"/>
        <w:jc w:val="both"/>
        <w:rPr>
          <w:rFonts w:asciiTheme="minorHAnsi" w:hAnsiTheme="minorHAnsi" w:cstheme="minorHAnsi"/>
          <w:color w:val="212121"/>
          <w:sz w:val="22"/>
          <w:szCs w:val="22"/>
        </w:rPr>
      </w:pPr>
      <w:r w:rsidRPr="00845BA4">
        <w:rPr>
          <w:rFonts w:asciiTheme="minorHAnsi" w:hAnsiTheme="minorHAnsi" w:cstheme="minorHAnsi"/>
          <w:color w:val="212121"/>
          <w:sz w:val="22"/>
          <w:szCs w:val="22"/>
        </w:rPr>
        <w:t>To minimize the spread of the virus associated with COVID-19, the Department encourages employers to be judicious when using this definition to exempt emergency responders from the provisions of the FFCRA.</w:t>
      </w:r>
    </w:p>
    <w:p w14:paraId="3C669C78" w14:textId="589A71E4" w:rsidR="005B161F" w:rsidRDefault="00A21DC4" w:rsidP="009844D1">
      <w:pPr>
        <w:pStyle w:val="NoSpacing"/>
        <w:ind w:left="720"/>
        <w:jc w:val="both"/>
      </w:pPr>
      <w:hyperlink r:id="rId11" w:history="1">
        <w:r w:rsidR="00641D02" w:rsidRPr="00865A10">
          <w:rPr>
            <w:rStyle w:val="Hyperlink"/>
          </w:rPr>
          <w:t>https://www.dol.gov/agencies/whd/pandemic/ffcra-questions</w:t>
        </w:r>
      </w:hyperlink>
      <w:r w:rsidR="00641D02">
        <w:t xml:space="preserve"> - see question 57.</w:t>
      </w:r>
      <w:r w:rsidR="00641D02" w:rsidDel="00641D02">
        <w:t xml:space="preserve"> </w:t>
      </w:r>
    </w:p>
    <w:p w14:paraId="618AE3EF" w14:textId="77777777" w:rsidR="006605D0" w:rsidRDefault="006605D0" w:rsidP="006E3000">
      <w:pPr>
        <w:pStyle w:val="NoSpacing"/>
        <w:ind w:left="720"/>
        <w:jc w:val="both"/>
        <w:rPr>
          <w:b/>
          <w:bCs/>
        </w:rPr>
      </w:pPr>
    </w:p>
    <w:p w14:paraId="68C989FA" w14:textId="6A1C48A8" w:rsidR="00BC1921" w:rsidRPr="009844D1" w:rsidRDefault="00F77DBA" w:rsidP="00BC1921">
      <w:pPr>
        <w:pStyle w:val="NoSpacing"/>
        <w:ind w:left="720" w:hanging="360"/>
        <w:jc w:val="both"/>
        <w:rPr>
          <w:b/>
          <w:bCs/>
        </w:rPr>
      </w:pPr>
      <w:r w:rsidRPr="009844D1">
        <w:rPr>
          <w:b/>
          <w:bCs/>
        </w:rPr>
        <w:t xml:space="preserve"> </w:t>
      </w:r>
      <w:r w:rsidR="00BC1921" w:rsidRPr="009844D1">
        <w:rPr>
          <w:b/>
          <w:bCs/>
        </w:rPr>
        <w:t>9.</w:t>
      </w:r>
      <w:r w:rsidR="00BC1921" w:rsidRPr="009844D1">
        <w:rPr>
          <w:b/>
          <w:bCs/>
        </w:rPr>
        <w:tab/>
      </w:r>
      <w:r w:rsidR="00BC1921" w:rsidRPr="00BC1921">
        <w:rPr>
          <w:b/>
          <w:bCs/>
        </w:rPr>
        <w:t>Are there any Emergency Executive Orders issued by the Governor that relate to implementation of the FFCRA?</w:t>
      </w:r>
    </w:p>
    <w:p w14:paraId="16BF38C4" w14:textId="77777777" w:rsidR="00BC1921" w:rsidRDefault="00BC1921" w:rsidP="00BC1921">
      <w:pPr>
        <w:pStyle w:val="NoSpacing"/>
        <w:ind w:left="1800"/>
        <w:jc w:val="both"/>
      </w:pPr>
    </w:p>
    <w:p w14:paraId="40F17971" w14:textId="77777777" w:rsidR="00BC1921" w:rsidRDefault="00BC1921" w:rsidP="00BC1921">
      <w:pPr>
        <w:pStyle w:val="NoSpacing"/>
        <w:ind w:left="720"/>
        <w:jc w:val="both"/>
      </w:pPr>
      <w:r>
        <w:t>Executive Order 17, Section 3, provides that “[a]</w:t>
      </w:r>
      <w:proofErr w:type="spellStart"/>
      <w:r>
        <w:t>ll</w:t>
      </w:r>
      <w:proofErr w:type="spellEnd"/>
      <w:r>
        <w:t xml:space="preserve"> critical infrastructure remains operational, and government entities and businesses will continue providing important and essential services.”</w:t>
      </w:r>
    </w:p>
    <w:p w14:paraId="0ACCAD69" w14:textId="77777777" w:rsidR="00BC1921" w:rsidRDefault="00BC1921" w:rsidP="00BC1921">
      <w:pPr>
        <w:pStyle w:val="NoSpacing"/>
        <w:ind w:left="1080"/>
        <w:jc w:val="both"/>
      </w:pPr>
    </w:p>
    <w:p w14:paraId="692541F3" w14:textId="77777777" w:rsidR="00BC1921" w:rsidRDefault="00BC1921" w:rsidP="00BC1921">
      <w:pPr>
        <w:pStyle w:val="NoSpacing"/>
        <w:ind w:left="720"/>
        <w:jc w:val="both"/>
      </w:pPr>
      <w:r>
        <w:t>Executive Order 20 states that “it is imperative that essential healthcare services, including mental health services, remain accessible to Tennesseans” and that “providing essential healthcare services in a manner that minimizes the continued spread of COVID-19 requires the use of alternative delivery mechanisms to protect healthcare providers and patients.”</w:t>
      </w:r>
    </w:p>
    <w:p w14:paraId="7D7852B0" w14:textId="03BD796E" w:rsidR="00BB71E3" w:rsidRDefault="00BB71E3" w:rsidP="006E3000">
      <w:pPr>
        <w:pStyle w:val="ListParagraph"/>
        <w:spacing w:after="0" w:line="240" w:lineRule="auto"/>
        <w:ind w:right="720"/>
        <w:contextualSpacing w:val="0"/>
        <w:jc w:val="both"/>
      </w:pPr>
    </w:p>
    <w:sectPr w:rsidR="00BB71E3" w:rsidSect="00EA39C8">
      <w:headerReference w:type="default" r:id="rId12"/>
      <w:footerReference w:type="even" r:id="rId13"/>
      <w:footerReference w:type="default" r:id="rId14"/>
      <w:headerReference w:type="first" r:id="rId15"/>
      <w:footerReference w:type="first" r:id="rId16"/>
      <w:pgSz w:w="12240" w:h="15840"/>
      <w:pgMar w:top="720" w:right="1008" w:bottom="72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4A94" w14:textId="77777777" w:rsidR="00A21DC4" w:rsidRDefault="00A21DC4" w:rsidP="007D5E8C">
      <w:pPr>
        <w:spacing w:after="0" w:line="240" w:lineRule="auto"/>
      </w:pPr>
      <w:r>
        <w:separator/>
      </w:r>
    </w:p>
  </w:endnote>
  <w:endnote w:type="continuationSeparator" w:id="0">
    <w:p w14:paraId="28052736" w14:textId="77777777" w:rsidR="00A21DC4" w:rsidRDefault="00A21DC4" w:rsidP="007D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9F6C" w14:textId="77777777" w:rsidR="007D5E8C" w:rsidRDefault="00057F77" w:rsidP="007D5E8C">
    <w:pPr>
      <w:pStyle w:val="Footer"/>
      <w:jc w:val="center"/>
    </w:pPr>
    <w:r>
      <w:t>2</w:t>
    </w:r>
  </w:p>
  <w:p w14:paraId="04C9B719" w14:textId="77777777" w:rsidR="007D5E8C" w:rsidRDefault="007D5E8C" w:rsidP="007D5E8C">
    <w:pPr>
      <w:pStyle w:val="Footer"/>
      <w:jc w:val="center"/>
    </w:pPr>
    <w:r w:rsidRPr="006F35FB">
      <w:rPr>
        <w:b/>
        <w:color w:val="FF0000"/>
      </w:rPr>
      <w:t>***ATTORNEY CONFIDENTIAL***</w:t>
    </w:r>
  </w:p>
  <w:p w14:paraId="4981EAC9" w14:textId="77777777" w:rsidR="007D5E8C" w:rsidRDefault="007D5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482016"/>
      <w:docPartObj>
        <w:docPartGallery w:val="Page Numbers (Bottom of Page)"/>
        <w:docPartUnique/>
      </w:docPartObj>
    </w:sdtPr>
    <w:sdtEndPr>
      <w:rPr>
        <w:noProof/>
      </w:rPr>
    </w:sdtEndPr>
    <w:sdtContent>
      <w:p w14:paraId="11BE5733" w14:textId="77777777" w:rsidR="00057F77" w:rsidRDefault="00057F77">
        <w:pPr>
          <w:pStyle w:val="Footer"/>
          <w:jc w:val="center"/>
        </w:pPr>
        <w:r>
          <w:fldChar w:fldCharType="begin"/>
        </w:r>
        <w:r>
          <w:instrText xml:space="preserve"> PAGE   \* MERGEFORMAT </w:instrText>
        </w:r>
        <w:r>
          <w:fldChar w:fldCharType="separate"/>
        </w:r>
        <w:r w:rsidR="008A5D60">
          <w:rPr>
            <w:noProof/>
          </w:rPr>
          <w:t>2</w:t>
        </w:r>
        <w:r>
          <w:rPr>
            <w:noProof/>
          </w:rPr>
          <w:fldChar w:fldCharType="end"/>
        </w:r>
      </w:p>
    </w:sdtContent>
  </w:sdt>
  <w:p w14:paraId="561CA8CA" w14:textId="77777777" w:rsidR="007D5E8C" w:rsidRDefault="007D5E8C" w:rsidP="00057F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82245"/>
      <w:docPartObj>
        <w:docPartGallery w:val="Page Numbers (Bottom of Page)"/>
        <w:docPartUnique/>
      </w:docPartObj>
    </w:sdtPr>
    <w:sdtEndPr>
      <w:rPr>
        <w:noProof/>
      </w:rPr>
    </w:sdtEndPr>
    <w:sdtContent>
      <w:p w14:paraId="754BAA9B" w14:textId="2533672E" w:rsidR="006709AA" w:rsidRPr="006709AA" w:rsidRDefault="006709AA">
        <w:pPr>
          <w:pStyle w:val="Footer"/>
          <w:jc w:val="center"/>
          <w:rPr>
            <w:color w:val="FF0000"/>
          </w:rPr>
        </w:pPr>
      </w:p>
      <w:p w14:paraId="1D1982E8" w14:textId="761DEE4B" w:rsidR="006709AA" w:rsidRDefault="006709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F257B" w14:textId="77777777" w:rsidR="007D5E8C" w:rsidRDefault="007D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B1A0" w14:textId="77777777" w:rsidR="00A21DC4" w:rsidRDefault="00A21DC4" w:rsidP="007D5E8C">
      <w:pPr>
        <w:spacing w:after="0" w:line="240" w:lineRule="auto"/>
      </w:pPr>
      <w:r>
        <w:separator/>
      </w:r>
    </w:p>
  </w:footnote>
  <w:footnote w:type="continuationSeparator" w:id="0">
    <w:p w14:paraId="0889BCDA" w14:textId="77777777" w:rsidR="00A21DC4" w:rsidRDefault="00A21DC4" w:rsidP="007D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C229" w14:textId="77777777" w:rsidR="007D5E8C" w:rsidRPr="007D5E8C" w:rsidRDefault="007D5E8C" w:rsidP="007D5E8C">
    <w:pPr>
      <w:tabs>
        <w:tab w:val="center" w:pos="4680"/>
        <w:tab w:val="right" w:pos="9360"/>
      </w:tabs>
      <w:spacing w:after="0" w:line="240" w:lineRule="auto"/>
    </w:pPr>
  </w:p>
  <w:p w14:paraId="5B87A683" w14:textId="77777777" w:rsidR="007D5E8C" w:rsidRDefault="007D5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A57E" w14:textId="5EE2207B" w:rsidR="007D5E8C" w:rsidRDefault="007D5E8C" w:rsidP="007D5E8C">
    <w:pPr>
      <w:pStyle w:val="Header"/>
    </w:pPr>
    <w:r w:rsidRPr="007D5E8C">
      <w:rPr>
        <w:noProof/>
      </w:rPr>
      <mc:AlternateContent>
        <mc:Choice Requires="wps">
          <w:drawing>
            <wp:anchor distT="0" distB="0" distL="114300" distR="114300" simplePos="0" relativeHeight="251661312" behindDoc="0" locked="0" layoutInCell="1" allowOverlap="1" wp14:anchorId="732A5838" wp14:editId="022D0F62">
              <wp:simplePos x="0" y="0"/>
              <wp:positionH relativeFrom="margin">
                <wp:align>right</wp:align>
              </wp:positionH>
              <wp:positionV relativeFrom="paragraph">
                <wp:posOffset>-28574</wp:posOffset>
              </wp:positionV>
              <wp:extent cx="2593340" cy="760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760095"/>
                      </a:xfrm>
                      <a:prstGeom prst="rect">
                        <a:avLst/>
                      </a:prstGeom>
                      <a:solidFill>
                        <a:srgbClr val="FFFFFF"/>
                      </a:solidFill>
                      <a:ln w="9525">
                        <a:noFill/>
                        <a:miter lim="800000"/>
                        <a:headEnd/>
                        <a:tailEnd/>
                      </a:ln>
                    </wps:spPr>
                    <wps:txbx>
                      <w:txbxContent>
                        <w:p w14:paraId="497942DE" w14:textId="45DF394C" w:rsidR="006A4F93" w:rsidRPr="00733264" w:rsidRDefault="006A4F93" w:rsidP="006A4F93">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A5838" id="_x0000_t202" coordsize="21600,21600" o:spt="202" path="m,l,21600r21600,l21600,xe">
              <v:stroke joinstyle="miter"/>
              <v:path gradientshapeok="t" o:connecttype="rect"/>
            </v:shapetype>
            <v:shape id="Text Box 2" o:spid="_x0000_s1026" type="#_x0000_t202" style="position:absolute;margin-left:153pt;margin-top:-2.25pt;width:204.2pt;height:59.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T1HwIAABsEAAAOAAAAZHJzL2Uyb0RvYy54bWysU21v2yAQ/j5p/wHxfbHjx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" stroked="f">
              <v:textbox>
                <w:txbxContent>
                  <w:p w14:paraId="497942DE" w14:textId="45DF394C" w:rsidR="006A4F93" w:rsidRPr="00733264" w:rsidRDefault="006A4F93" w:rsidP="006A4F93">
                    <w:pPr>
                      <w:pStyle w:val="NoSpacing"/>
                      <w:jc w:val="center"/>
                    </w:pPr>
                  </w:p>
                </w:txbxContent>
              </v:textbox>
              <w10:wrap anchorx="margin"/>
            </v:shape>
          </w:pict>
        </mc:Fallback>
      </mc:AlternateContent>
    </w:r>
    <w:r w:rsidRPr="007D5E8C">
      <w:rPr>
        <w:noProof/>
      </w:rPr>
      <w:drawing>
        <wp:inline distT="0" distB="0" distL="0" distR="0" wp14:anchorId="71CBC882" wp14:editId="31D81D5C">
          <wp:extent cx="2313432" cy="731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Mental-Health-&amp;-Sub-Abuse-ColorPMS.png"/>
                  <pic:cNvPicPr/>
                </pic:nvPicPr>
                <pic:blipFill>
                  <a:blip r:embed="rId1">
                    <a:extLst>
                      <a:ext uri="{28A0092B-C50C-407E-A947-70E740481C1C}">
                        <a14:useLocalDpi xmlns:a14="http://schemas.microsoft.com/office/drawing/2010/main" val="0"/>
                      </a:ext>
                    </a:extLst>
                  </a:blip>
                  <a:stretch>
                    <a:fillRect/>
                  </a:stretch>
                </pic:blipFill>
                <pic:spPr>
                  <a:xfrm>
                    <a:off x="0" y="0"/>
                    <a:ext cx="2313432" cy="731520"/>
                  </a:xfrm>
                  <a:prstGeom prst="rect">
                    <a:avLst/>
                  </a:prstGeom>
                </pic:spPr>
              </pic:pic>
            </a:graphicData>
          </a:graphic>
        </wp:inline>
      </w:drawing>
    </w:r>
  </w:p>
  <w:p w14:paraId="2404FD81" w14:textId="77777777" w:rsidR="00733264" w:rsidRPr="007D5E8C" w:rsidRDefault="00733264" w:rsidP="007D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A3B"/>
    <w:multiLevelType w:val="hybridMultilevel"/>
    <w:tmpl w:val="1B723022"/>
    <w:lvl w:ilvl="0" w:tplc="C80AD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2953E3"/>
    <w:multiLevelType w:val="hybridMultilevel"/>
    <w:tmpl w:val="2C8C4392"/>
    <w:lvl w:ilvl="0" w:tplc="48B4B2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435487A"/>
    <w:multiLevelType w:val="hybridMultilevel"/>
    <w:tmpl w:val="C5D8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B66131"/>
    <w:multiLevelType w:val="hybridMultilevel"/>
    <w:tmpl w:val="DD300E44"/>
    <w:lvl w:ilvl="0" w:tplc="3BB889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A69DB"/>
    <w:multiLevelType w:val="hybridMultilevel"/>
    <w:tmpl w:val="84D679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375860"/>
    <w:multiLevelType w:val="multilevel"/>
    <w:tmpl w:val="422AB67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E36254"/>
    <w:multiLevelType w:val="multilevel"/>
    <w:tmpl w:val="FD2E6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8B0927"/>
    <w:multiLevelType w:val="hybridMultilevel"/>
    <w:tmpl w:val="09F4329E"/>
    <w:lvl w:ilvl="0" w:tplc="3BB889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5159C"/>
    <w:multiLevelType w:val="multilevel"/>
    <w:tmpl w:val="F3DE1058"/>
    <w:styleLink w:val="ZGList"/>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9A48CC"/>
    <w:multiLevelType w:val="multilevel"/>
    <w:tmpl w:val="C91CBB70"/>
    <w:lvl w:ilvl="0">
      <w:start w:val="1"/>
      <w:numFmt w:val="decimal"/>
      <w:lvlText w:val="%1."/>
      <w:lvlJc w:val="right"/>
      <w:pPr>
        <w:ind w:left="180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240" w:hanging="360"/>
      </w:pPr>
      <w:rPr>
        <w:rFonts w:hint="default"/>
      </w:rPr>
    </w:lvl>
    <w:lvl w:ilvl="5">
      <w:start w:val="1"/>
      <w:numFmt w:val="lowerRoman"/>
      <w:lvlText w:val="(%6)  "/>
      <w:lvlJc w:val="left"/>
      <w:pPr>
        <w:ind w:left="3600" w:hanging="360"/>
      </w:pPr>
      <w:rPr>
        <w:rFonts w:hint="default"/>
      </w:rPr>
    </w:lvl>
    <w:lvl w:ilvl="6">
      <w:start w:val="1"/>
      <w:numFmt w:val="bullet"/>
      <w:lvlText w:val=""/>
      <w:lvlJc w:val="left"/>
      <w:pPr>
        <w:ind w:left="3960" w:hanging="360"/>
      </w:pPr>
      <w:rPr>
        <w:rFonts w:ascii="Symbol" w:hAnsi="Symbol" w:hint="default"/>
        <w:color w:val="auto"/>
      </w:rPr>
    </w:lvl>
    <w:lvl w:ilvl="7">
      <w:start w:val="1"/>
      <w:numFmt w:val="bullet"/>
      <w:lvlText w:val=""/>
      <w:lvlJc w:val="left"/>
      <w:pPr>
        <w:ind w:left="4320" w:hanging="360"/>
      </w:pPr>
      <w:rPr>
        <w:rFonts w:ascii="Symbol" w:hAnsi="Symbol" w:hint="default"/>
        <w:color w:val="auto"/>
      </w:rPr>
    </w:lvl>
    <w:lvl w:ilvl="8">
      <w:start w:val="1"/>
      <w:numFmt w:val="bullet"/>
      <w:lvlText w:val=""/>
      <w:lvlJc w:val="left"/>
      <w:pPr>
        <w:ind w:left="4680" w:hanging="360"/>
      </w:pPr>
      <w:rPr>
        <w:rFonts w:ascii="Symbol" w:hAnsi="Symbol" w:hint="default"/>
        <w:color w:val="auto"/>
      </w:rPr>
    </w:lvl>
  </w:abstractNum>
  <w:abstractNum w:abstractNumId="10" w15:restartNumberingAfterBreak="0">
    <w:nsid w:val="5442333C"/>
    <w:multiLevelType w:val="hybridMultilevel"/>
    <w:tmpl w:val="FDAE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C224EF"/>
    <w:multiLevelType w:val="multilevel"/>
    <w:tmpl w:val="422AB67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5"/>
  </w:num>
  <w:num w:numId="4">
    <w:abstractNumId w:val="8"/>
  </w:num>
  <w:num w:numId="5">
    <w:abstractNumId w:val="11"/>
  </w:num>
  <w:num w:numId="6">
    <w:abstractNumId w:val="1"/>
  </w:num>
  <w:num w:numId="7">
    <w:abstractNumId w:val="9"/>
  </w:num>
  <w:num w:numId="8">
    <w:abstractNumId w:val="9"/>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Roman"/>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4"/>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8C"/>
    <w:rsid w:val="00057F77"/>
    <w:rsid w:val="00081658"/>
    <w:rsid w:val="000A4DDA"/>
    <w:rsid w:val="000B6C90"/>
    <w:rsid w:val="000C6796"/>
    <w:rsid w:val="000E297E"/>
    <w:rsid w:val="001060A5"/>
    <w:rsid w:val="0011161B"/>
    <w:rsid w:val="00112E0B"/>
    <w:rsid w:val="001140FA"/>
    <w:rsid w:val="00120899"/>
    <w:rsid w:val="00142A6F"/>
    <w:rsid w:val="00146D48"/>
    <w:rsid w:val="00155856"/>
    <w:rsid w:val="00163E09"/>
    <w:rsid w:val="00164045"/>
    <w:rsid w:val="001764C1"/>
    <w:rsid w:val="0017773E"/>
    <w:rsid w:val="001869A9"/>
    <w:rsid w:val="001B36F8"/>
    <w:rsid w:val="001F2F39"/>
    <w:rsid w:val="00201629"/>
    <w:rsid w:val="0021117F"/>
    <w:rsid w:val="00230094"/>
    <w:rsid w:val="00240821"/>
    <w:rsid w:val="00241A45"/>
    <w:rsid w:val="002A3CF6"/>
    <w:rsid w:val="002B16AB"/>
    <w:rsid w:val="002E07E1"/>
    <w:rsid w:val="002E2565"/>
    <w:rsid w:val="002F4CA9"/>
    <w:rsid w:val="00315484"/>
    <w:rsid w:val="0032559C"/>
    <w:rsid w:val="00340BDA"/>
    <w:rsid w:val="003661E2"/>
    <w:rsid w:val="00376E33"/>
    <w:rsid w:val="003B5DD9"/>
    <w:rsid w:val="003D3427"/>
    <w:rsid w:val="003F47BF"/>
    <w:rsid w:val="004452BE"/>
    <w:rsid w:val="00454F66"/>
    <w:rsid w:val="004802C9"/>
    <w:rsid w:val="004C22E0"/>
    <w:rsid w:val="004D0147"/>
    <w:rsid w:val="004D7C42"/>
    <w:rsid w:val="005340D5"/>
    <w:rsid w:val="005758FE"/>
    <w:rsid w:val="005B0552"/>
    <w:rsid w:val="005B161F"/>
    <w:rsid w:val="005D6AAA"/>
    <w:rsid w:val="00605632"/>
    <w:rsid w:val="00611DF1"/>
    <w:rsid w:val="006344E0"/>
    <w:rsid w:val="00637071"/>
    <w:rsid w:val="00641D02"/>
    <w:rsid w:val="006605D0"/>
    <w:rsid w:val="00663769"/>
    <w:rsid w:val="006709AA"/>
    <w:rsid w:val="006A4F93"/>
    <w:rsid w:val="006B78BD"/>
    <w:rsid w:val="006C763A"/>
    <w:rsid w:val="006D7AA3"/>
    <w:rsid w:val="006E3000"/>
    <w:rsid w:val="00713513"/>
    <w:rsid w:val="007145D5"/>
    <w:rsid w:val="00725AB0"/>
    <w:rsid w:val="00733264"/>
    <w:rsid w:val="007A2027"/>
    <w:rsid w:val="007A2D24"/>
    <w:rsid w:val="007A4825"/>
    <w:rsid w:val="007B3660"/>
    <w:rsid w:val="007C24F3"/>
    <w:rsid w:val="007C5C1E"/>
    <w:rsid w:val="007C69CE"/>
    <w:rsid w:val="007D5E8C"/>
    <w:rsid w:val="007F123C"/>
    <w:rsid w:val="007F7356"/>
    <w:rsid w:val="008106ED"/>
    <w:rsid w:val="008113E4"/>
    <w:rsid w:val="00834EB6"/>
    <w:rsid w:val="0084201D"/>
    <w:rsid w:val="0084785F"/>
    <w:rsid w:val="0087224A"/>
    <w:rsid w:val="008A5D60"/>
    <w:rsid w:val="008B08B6"/>
    <w:rsid w:val="008C2F2F"/>
    <w:rsid w:val="008E77F4"/>
    <w:rsid w:val="00924D04"/>
    <w:rsid w:val="00951583"/>
    <w:rsid w:val="00965B30"/>
    <w:rsid w:val="009844D1"/>
    <w:rsid w:val="009B1BE8"/>
    <w:rsid w:val="009B40CA"/>
    <w:rsid w:val="009D1410"/>
    <w:rsid w:val="009E110A"/>
    <w:rsid w:val="009E250D"/>
    <w:rsid w:val="009F4170"/>
    <w:rsid w:val="00A14D6F"/>
    <w:rsid w:val="00A21DC4"/>
    <w:rsid w:val="00A31D6B"/>
    <w:rsid w:val="00A33A10"/>
    <w:rsid w:val="00A35E5D"/>
    <w:rsid w:val="00A424FC"/>
    <w:rsid w:val="00A4592E"/>
    <w:rsid w:val="00A6457F"/>
    <w:rsid w:val="00A708FA"/>
    <w:rsid w:val="00A75968"/>
    <w:rsid w:val="00A77D24"/>
    <w:rsid w:val="00AA090F"/>
    <w:rsid w:val="00AA0BE1"/>
    <w:rsid w:val="00AE06E4"/>
    <w:rsid w:val="00AE25E8"/>
    <w:rsid w:val="00AF426A"/>
    <w:rsid w:val="00B11DAD"/>
    <w:rsid w:val="00B13D96"/>
    <w:rsid w:val="00B24154"/>
    <w:rsid w:val="00B61716"/>
    <w:rsid w:val="00B861CE"/>
    <w:rsid w:val="00BA7EF3"/>
    <w:rsid w:val="00BB71E3"/>
    <w:rsid w:val="00BC1921"/>
    <w:rsid w:val="00C27402"/>
    <w:rsid w:val="00C514A0"/>
    <w:rsid w:val="00C52E2C"/>
    <w:rsid w:val="00C61597"/>
    <w:rsid w:val="00C84B0F"/>
    <w:rsid w:val="00C85A55"/>
    <w:rsid w:val="00C87EB3"/>
    <w:rsid w:val="00CA0F1F"/>
    <w:rsid w:val="00CB250D"/>
    <w:rsid w:val="00CB65E5"/>
    <w:rsid w:val="00CB6E24"/>
    <w:rsid w:val="00CC0A40"/>
    <w:rsid w:val="00CD2C2A"/>
    <w:rsid w:val="00CD3510"/>
    <w:rsid w:val="00CF564C"/>
    <w:rsid w:val="00D04443"/>
    <w:rsid w:val="00D10597"/>
    <w:rsid w:val="00D15514"/>
    <w:rsid w:val="00D26F51"/>
    <w:rsid w:val="00D5585A"/>
    <w:rsid w:val="00D6404C"/>
    <w:rsid w:val="00D97C3C"/>
    <w:rsid w:val="00DB4DC1"/>
    <w:rsid w:val="00E06829"/>
    <w:rsid w:val="00E21C37"/>
    <w:rsid w:val="00E22387"/>
    <w:rsid w:val="00E33BB7"/>
    <w:rsid w:val="00E61FA3"/>
    <w:rsid w:val="00E64CFC"/>
    <w:rsid w:val="00E6559C"/>
    <w:rsid w:val="00E659A0"/>
    <w:rsid w:val="00E65A79"/>
    <w:rsid w:val="00EA31CF"/>
    <w:rsid w:val="00EA39C8"/>
    <w:rsid w:val="00EE2294"/>
    <w:rsid w:val="00EF7F10"/>
    <w:rsid w:val="00F410ED"/>
    <w:rsid w:val="00F749E5"/>
    <w:rsid w:val="00F77DBA"/>
    <w:rsid w:val="00FC63B4"/>
    <w:rsid w:val="00FC7789"/>
    <w:rsid w:val="00FD5205"/>
    <w:rsid w:val="00FE5701"/>
    <w:rsid w:val="00FF76C5"/>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80D4"/>
  <w15:docId w15:val="{014A8FCB-680F-40FA-9135-82291FB2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8C"/>
  </w:style>
  <w:style w:type="paragraph" w:styleId="Footer">
    <w:name w:val="footer"/>
    <w:basedOn w:val="Normal"/>
    <w:link w:val="FooterChar"/>
    <w:uiPriority w:val="99"/>
    <w:unhideWhenUsed/>
    <w:rsid w:val="007D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8C"/>
  </w:style>
  <w:style w:type="paragraph" w:styleId="NoSpacing">
    <w:name w:val="No Spacing"/>
    <w:uiPriority w:val="1"/>
    <w:qFormat/>
    <w:rsid w:val="007D5E8C"/>
    <w:pPr>
      <w:spacing w:after="0" w:line="240" w:lineRule="auto"/>
    </w:pPr>
  </w:style>
  <w:style w:type="paragraph" w:styleId="BalloonText">
    <w:name w:val="Balloon Text"/>
    <w:basedOn w:val="Normal"/>
    <w:link w:val="BalloonTextChar"/>
    <w:uiPriority w:val="99"/>
    <w:semiHidden/>
    <w:unhideWhenUsed/>
    <w:rsid w:val="007D5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8C"/>
    <w:rPr>
      <w:rFonts w:ascii="Tahoma" w:hAnsi="Tahoma" w:cs="Tahoma"/>
      <w:sz w:val="16"/>
      <w:szCs w:val="16"/>
    </w:rPr>
  </w:style>
  <w:style w:type="numbering" w:customStyle="1" w:styleId="ZGList">
    <w:name w:val="ZG List"/>
    <w:uiPriority w:val="99"/>
    <w:rsid w:val="008C2F2F"/>
    <w:pPr>
      <w:numPr>
        <w:numId w:val="4"/>
      </w:numPr>
    </w:pPr>
  </w:style>
  <w:style w:type="paragraph" w:styleId="ListParagraph">
    <w:name w:val="List Paragraph"/>
    <w:basedOn w:val="Normal"/>
    <w:uiPriority w:val="34"/>
    <w:qFormat/>
    <w:rsid w:val="00B861CE"/>
    <w:pPr>
      <w:ind w:left="720"/>
      <w:contextualSpacing/>
    </w:pPr>
  </w:style>
  <w:style w:type="paragraph" w:styleId="FootnoteText">
    <w:name w:val="footnote text"/>
    <w:basedOn w:val="Normal"/>
    <w:link w:val="FootnoteTextChar"/>
    <w:uiPriority w:val="99"/>
    <w:semiHidden/>
    <w:unhideWhenUsed/>
    <w:rsid w:val="007A2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027"/>
    <w:rPr>
      <w:sz w:val="20"/>
      <w:szCs w:val="20"/>
    </w:rPr>
  </w:style>
  <w:style w:type="character" w:styleId="FootnoteReference">
    <w:name w:val="footnote reference"/>
    <w:basedOn w:val="DefaultParagraphFont"/>
    <w:uiPriority w:val="99"/>
    <w:semiHidden/>
    <w:unhideWhenUsed/>
    <w:rsid w:val="007A2027"/>
    <w:rPr>
      <w:vertAlign w:val="superscript"/>
    </w:rPr>
  </w:style>
  <w:style w:type="character" w:styleId="CommentReference">
    <w:name w:val="annotation reference"/>
    <w:basedOn w:val="DefaultParagraphFont"/>
    <w:uiPriority w:val="99"/>
    <w:semiHidden/>
    <w:unhideWhenUsed/>
    <w:rsid w:val="009B1BE8"/>
    <w:rPr>
      <w:sz w:val="16"/>
      <w:szCs w:val="16"/>
    </w:rPr>
  </w:style>
  <w:style w:type="paragraph" w:styleId="CommentText">
    <w:name w:val="annotation text"/>
    <w:basedOn w:val="Normal"/>
    <w:link w:val="CommentTextChar"/>
    <w:uiPriority w:val="99"/>
    <w:semiHidden/>
    <w:unhideWhenUsed/>
    <w:rsid w:val="009B1BE8"/>
    <w:pPr>
      <w:spacing w:line="240" w:lineRule="auto"/>
    </w:pPr>
    <w:rPr>
      <w:sz w:val="20"/>
      <w:szCs w:val="20"/>
    </w:rPr>
  </w:style>
  <w:style w:type="character" w:customStyle="1" w:styleId="CommentTextChar">
    <w:name w:val="Comment Text Char"/>
    <w:basedOn w:val="DefaultParagraphFont"/>
    <w:link w:val="CommentText"/>
    <w:uiPriority w:val="99"/>
    <w:semiHidden/>
    <w:rsid w:val="009B1BE8"/>
    <w:rPr>
      <w:sz w:val="20"/>
      <w:szCs w:val="20"/>
    </w:rPr>
  </w:style>
  <w:style w:type="paragraph" w:styleId="CommentSubject">
    <w:name w:val="annotation subject"/>
    <w:basedOn w:val="CommentText"/>
    <w:next w:val="CommentText"/>
    <w:link w:val="CommentSubjectChar"/>
    <w:uiPriority w:val="99"/>
    <w:semiHidden/>
    <w:unhideWhenUsed/>
    <w:rsid w:val="009B1BE8"/>
    <w:rPr>
      <w:b/>
      <w:bCs/>
    </w:rPr>
  </w:style>
  <w:style w:type="character" w:customStyle="1" w:styleId="CommentSubjectChar">
    <w:name w:val="Comment Subject Char"/>
    <w:basedOn w:val="CommentTextChar"/>
    <w:link w:val="CommentSubject"/>
    <w:uiPriority w:val="99"/>
    <w:semiHidden/>
    <w:rsid w:val="009B1BE8"/>
    <w:rPr>
      <w:b/>
      <w:bCs/>
      <w:sz w:val="20"/>
      <w:szCs w:val="20"/>
    </w:rPr>
  </w:style>
  <w:style w:type="paragraph" w:styleId="Revision">
    <w:name w:val="Revision"/>
    <w:hidden/>
    <w:uiPriority w:val="99"/>
    <w:semiHidden/>
    <w:rsid w:val="006E3000"/>
    <w:pPr>
      <w:spacing w:after="0" w:line="240" w:lineRule="auto"/>
    </w:pPr>
  </w:style>
  <w:style w:type="character" w:styleId="Hyperlink">
    <w:name w:val="Hyperlink"/>
    <w:basedOn w:val="DefaultParagraphFont"/>
    <w:uiPriority w:val="99"/>
    <w:unhideWhenUsed/>
    <w:rsid w:val="00641D02"/>
    <w:rPr>
      <w:color w:val="0000FF" w:themeColor="hyperlink"/>
      <w:u w:val="single"/>
    </w:rPr>
  </w:style>
  <w:style w:type="character" w:styleId="UnresolvedMention">
    <w:name w:val="Unresolved Mention"/>
    <w:basedOn w:val="DefaultParagraphFont"/>
    <w:uiPriority w:val="99"/>
    <w:semiHidden/>
    <w:unhideWhenUsed/>
    <w:rsid w:val="00641D02"/>
    <w:rPr>
      <w:color w:val="605E5C"/>
      <w:shd w:val="clear" w:color="auto" w:fill="E1DFDD"/>
    </w:rPr>
  </w:style>
  <w:style w:type="paragraph" w:styleId="NormalWeb">
    <w:name w:val="Normal (Web)"/>
    <w:basedOn w:val="Normal"/>
    <w:uiPriority w:val="99"/>
    <w:semiHidden/>
    <w:unhideWhenUsed/>
    <w:rsid w:val="00641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58368">
      <w:bodyDiv w:val="1"/>
      <w:marLeft w:val="0"/>
      <w:marRight w:val="0"/>
      <w:marTop w:val="0"/>
      <w:marBottom w:val="0"/>
      <w:divBdr>
        <w:top w:val="none" w:sz="0" w:space="0" w:color="auto"/>
        <w:left w:val="none" w:sz="0" w:space="0" w:color="auto"/>
        <w:bottom w:val="none" w:sz="0" w:space="0" w:color="auto"/>
        <w:right w:val="none" w:sz="0" w:space="0" w:color="auto"/>
      </w:divBdr>
    </w:div>
    <w:div w:id="1147553329">
      <w:bodyDiv w:val="1"/>
      <w:marLeft w:val="0"/>
      <w:marRight w:val="0"/>
      <w:marTop w:val="0"/>
      <w:marBottom w:val="0"/>
      <w:divBdr>
        <w:top w:val="none" w:sz="0" w:space="0" w:color="auto"/>
        <w:left w:val="none" w:sz="0" w:space="0" w:color="auto"/>
        <w:bottom w:val="none" w:sz="0" w:space="0" w:color="auto"/>
        <w:right w:val="none" w:sz="0" w:space="0" w:color="auto"/>
      </w:divBdr>
    </w:div>
    <w:div w:id="1786730556">
      <w:bodyDiv w:val="1"/>
      <w:marLeft w:val="0"/>
      <w:marRight w:val="0"/>
      <w:marTop w:val="0"/>
      <w:marBottom w:val="0"/>
      <w:divBdr>
        <w:top w:val="none" w:sz="0" w:space="0" w:color="auto"/>
        <w:left w:val="none" w:sz="0" w:space="0" w:color="auto"/>
        <w:bottom w:val="none" w:sz="0" w:space="0" w:color="auto"/>
        <w:right w:val="none" w:sz="0" w:space="0" w:color="auto"/>
      </w:divBdr>
    </w:div>
    <w:div w:id="1973054256">
      <w:bodyDiv w:val="1"/>
      <w:marLeft w:val="0"/>
      <w:marRight w:val="0"/>
      <w:marTop w:val="0"/>
      <w:marBottom w:val="0"/>
      <w:divBdr>
        <w:top w:val="none" w:sz="0" w:space="0" w:color="auto"/>
        <w:left w:val="none" w:sz="0" w:space="0" w:color="auto"/>
        <w:bottom w:val="none" w:sz="0" w:space="0" w:color="auto"/>
        <w:right w:val="none" w:sz="0" w:space="0" w:color="auto"/>
      </w:divBdr>
    </w:div>
    <w:div w:id="20080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pandemic/ffcra-ques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l.gov/agencies/whd/pandemic/ffcra-questions" TargetMode="External"/><Relationship Id="rId4" Type="http://schemas.openxmlformats.org/officeDocument/2006/relationships/settings" Target="settings.xml"/><Relationship Id="rId9" Type="http://schemas.openxmlformats.org/officeDocument/2006/relationships/hyperlink" Target="https://www.congress.gov/bill/116th-congress/house-bill/6201/tex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33C5-289A-4933-A867-0D2C12B2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Jefferson</dc:creator>
  <cp:keywords/>
  <dc:description/>
  <cp:lastModifiedBy>Neal Comstock</cp:lastModifiedBy>
  <cp:revision>2</cp:revision>
  <dcterms:created xsi:type="dcterms:W3CDTF">2020-03-31T16:33:00Z</dcterms:created>
  <dcterms:modified xsi:type="dcterms:W3CDTF">2020-03-31T16:33:00Z</dcterms:modified>
</cp:coreProperties>
</file>