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F29D" w14:textId="764BE81B"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March 31, 2023</w:t>
      </w:r>
      <w:r>
        <w:rPr>
          <w:rStyle w:val="eop"/>
          <w:rFonts w:ascii="Calibri" w:hAnsi="Calibri" w:cs="Calibri"/>
          <w:color w:val="000000"/>
          <w:sz w:val="22"/>
          <w:szCs w:val="22"/>
        </w:rPr>
        <w:t> </w:t>
      </w:r>
    </w:p>
    <w:p w14:paraId="1B3860AE"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CE1BF90"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Drug Enforcement Administration</w:t>
      </w:r>
    </w:p>
    <w:p w14:paraId="5B7ED4AC"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Department of Justice</w:t>
      </w:r>
    </w:p>
    <w:p w14:paraId="2BB1B0C3" w14:textId="7F581112"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ATTN: RIN 1117-AB</w:t>
      </w:r>
      <w:r w:rsidR="00F0561C">
        <w:rPr>
          <w:rStyle w:val="normaltextrun"/>
          <w:rFonts w:ascii="Calibri" w:hAnsi="Calibri" w:cs="Calibri"/>
          <w:color w:val="000000"/>
          <w:sz w:val="22"/>
          <w:szCs w:val="22"/>
        </w:rPr>
        <w:t>78</w:t>
      </w:r>
    </w:p>
    <w:p w14:paraId="5AD7005B"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53582E5"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Submitted via Regulations.gov</w:t>
      </w:r>
      <w:r>
        <w:rPr>
          <w:rStyle w:val="eop"/>
          <w:rFonts w:ascii="Calibri" w:hAnsi="Calibri" w:cs="Calibri"/>
          <w:color w:val="000000"/>
          <w:sz w:val="22"/>
          <w:szCs w:val="22"/>
        </w:rPr>
        <w:t> </w:t>
      </w:r>
    </w:p>
    <w:p w14:paraId="70EB4AE1"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DA482B7" w14:textId="7DA7E2B5" w:rsidR="0056358A" w:rsidRDefault="0056358A" w:rsidP="0056358A">
      <w:pPr>
        <w:pStyle w:val="paragraph"/>
        <w:spacing w:before="0" w:beforeAutospacing="0" w:after="0" w:afterAutospacing="0"/>
        <w:textAlignment w:val="baseline"/>
        <w:rPr>
          <w:rFonts w:ascii="Segoe UI" w:hAnsi="Segoe UI" w:cs="Segoe UI"/>
          <w:sz w:val="18"/>
          <w:szCs w:val="18"/>
        </w:rPr>
      </w:pPr>
      <w:r w:rsidRPr="7AC0CFB6">
        <w:rPr>
          <w:rStyle w:val="normaltextrun"/>
          <w:rFonts w:ascii="Calibri" w:hAnsi="Calibri" w:cs="Calibri"/>
          <w:b/>
          <w:color w:val="000000" w:themeColor="text1"/>
          <w:sz w:val="22"/>
          <w:szCs w:val="22"/>
        </w:rPr>
        <w:t xml:space="preserve">RE: </w:t>
      </w:r>
      <w:r w:rsidR="00E83664" w:rsidRPr="7AC0CFB6">
        <w:rPr>
          <w:rStyle w:val="normaltextrun"/>
          <w:rFonts w:ascii="Calibri" w:hAnsi="Calibri" w:cs="Calibri"/>
          <w:b/>
          <w:color w:val="000000" w:themeColor="text1"/>
          <w:sz w:val="22"/>
          <w:szCs w:val="22"/>
        </w:rPr>
        <w:t>Expansion of Induction of Buprenorphine via Telemedicine Encounter (RIN 1117-AB78)</w:t>
      </w:r>
    </w:p>
    <w:p w14:paraId="42E82232" w14:textId="2500D66A" w:rsidR="7AC0CFB6" w:rsidRDefault="7AC0CFB6" w:rsidP="7AC0CFB6">
      <w:pPr>
        <w:pStyle w:val="paragraph"/>
        <w:spacing w:before="0" w:beforeAutospacing="0" w:after="0" w:afterAutospacing="0"/>
        <w:rPr>
          <w:rStyle w:val="normaltextrun"/>
          <w:rFonts w:ascii="Calibri" w:hAnsi="Calibri" w:cs="Calibri"/>
          <w:b/>
          <w:bCs/>
          <w:color w:val="000000" w:themeColor="text1"/>
          <w:sz w:val="22"/>
          <w:szCs w:val="22"/>
        </w:rPr>
      </w:pPr>
    </w:p>
    <w:p w14:paraId="7B376C63" w14:textId="5FD33373"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behalf of </w:t>
      </w:r>
      <w:r w:rsidR="003157F5" w:rsidRPr="003157F5">
        <w:rPr>
          <w:rStyle w:val="normaltextrun"/>
          <w:rFonts w:ascii="Calibri" w:hAnsi="Calibri" w:cs="Calibri"/>
          <w:sz w:val="22"/>
          <w:szCs w:val="22"/>
          <w:highlight w:val="yellow"/>
        </w:rPr>
        <w:t>[</w:t>
      </w:r>
      <w:r w:rsidR="00197F8F">
        <w:rPr>
          <w:rStyle w:val="normaltextrun"/>
          <w:rFonts w:ascii="Calibri" w:hAnsi="Calibri" w:cs="Calibri"/>
          <w:sz w:val="22"/>
          <w:szCs w:val="22"/>
          <w:highlight w:val="yellow"/>
        </w:rPr>
        <w:t>O</w:t>
      </w:r>
      <w:r w:rsidR="003157F5" w:rsidRPr="003157F5">
        <w:rPr>
          <w:rStyle w:val="normaltextrun"/>
          <w:rFonts w:ascii="Calibri" w:hAnsi="Calibri" w:cs="Calibri"/>
          <w:sz w:val="22"/>
          <w:szCs w:val="22"/>
          <w:highlight w:val="yellow"/>
        </w:rPr>
        <w:t>rganization name]</w:t>
      </w:r>
      <w:r w:rsidRPr="003157F5">
        <w:rPr>
          <w:rStyle w:val="normaltextrun"/>
          <w:rFonts w:ascii="Calibri" w:hAnsi="Calibri" w:cs="Calibri"/>
          <w:sz w:val="22"/>
          <w:szCs w:val="22"/>
          <w:highlight w:val="yellow"/>
        </w:rPr>
        <w:t>,</w:t>
      </w:r>
      <w:r>
        <w:rPr>
          <w:rStyle w:val="normaltextrun"/>
          <w:rFonts w:ascii="Calibri" w:hAnsi="Calibri" w:cs="Calibri"/>
          <w:sz w:val="22"/>
          <w:szCs w:val="22"/>
        </w:rPr>
        <w:t xml:space="preserve"> thank you for the opportunity to comment on the Drug Enforcement Administration’s (DEA) </w:t>
      </w:r>
      <w:r w:rsidR="00E83664" w:rsidRPr="00E83664">
        <w:rPr>
          <w:rStyle w:val="normaltextrun"/>
          <w:rFonts w:ascii="Calibri" w:hAnsi="Calibri" w:cs="Calibri"/>
          <w:sz w:val="22"/>
          <w:szCs w:val="22"/>
        </w:rPr>
        <w:t xml:space="preserve">Expansion of Induction of Buprenorphine via Telemedicine Encounter </w:t>
      </w:r>
      <w:r>
        <w:rPr>
          <w:rStyle w:val="normaltextrun"/>
          <w:rFonts w:ascii="Calibri" w:hAnsi="Calibri" w:cs="Calibri"/>
          <w:sz w:val="22"/>
          <w:szCs w:val="22"/>
        </w:rPr>
        <w:t xml:space="preserve">proposed rule and other policy changes. </w:t>
      </w:r>
      <w:r w:rsidR="005C4327" w:rsidRPr="003157F5">
        <w:rPr>
          <w:rStyle w:val="normaltextrun"/>
          <w:rFonts w:ascii="Calibri" w:hAnsi="Calibri" w:cs="Calibri"/>
          <w:sz w:val="22"/>
          <w:szCs w:val="22"/>
          <w:highlight w:val="yellow"/>
        </w:rPr>
        <w:t>[</w:t>
      </w:r>
      <w:r w:rsidR="00197F8F">
        <w:rPr>
          <w:rStyle w:val="normaltextrun"/>
          <w:rFonts w:ascii="Calibri" w:hAnsi="Calibri" w:cs="Calibri"/>
          <w:sz w:val="22"/>
          <w:szCs w:val="22"/>
          <w:highlight w:val="yellow"/>
        </w:rPr>
        <w:t>O</w:t>
      </w:r>
      <w:r w:rsidR="005C4327" w:rsidRPr="003157F5">
        <w:rPr>
          <w:rStyle w:val="normaltextrun"/>
          <w:rFonts w:ascii="Calibri" w:hAnsi="Calibri" w:cs="Calibri"/>
          <w:sz w:val="22"/>
          <w:szCs w:val="22"/>
          <w:highlight w:val="yellow"/>
        </w:rPr>
        <w:t xml:space="preserve">rganization </w:t>
      </w:r>
      <w:r w:rsidR="005C4327">
        <w:rPr>
          <w:rStyle w:val="normaltextrun"/>
          <w:rFonts w:ascii="Calibri" w:hAnsi="Calibri" w:cs="Calibri"/>
          <w:sz w:val="22"/>
          <w:szCs w:val="22"/>
          <w:highlight w:val="yellow"/>
        </w:rPr>
        <w:t>boilerplate</w:t>
      </w:r>
      <w:r w:rsidR="005C4327" w:rsidRPr="003157F5">
        <w:rPr>
          <w:rStyle w:val="normaltextrun"/>
          <w:rFonts w:ascii="Calibri" w:hAnsi="Calibri" w:cs="Calibri"/>
          <w:sz w:val="22"/>
          <w:szCs w:val="22"/>
          <w:highlight w:val="yellow"/>
        </w:rPr>
        <w:t>]</w:t>
      </w:r>
    </w:p>
    <w:p w14:paraId="1845FDDD"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28D057" w14:textId="506C8DD4" w:rsidR="0056358A" w:rsidRDefault="0056358A" w:rsidP="0056358A">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proposed </w:t>
      </w:r>
      <w:r w:rsidR="00DF0B78" w:rsidRPr="00DF0B78">
        <w:rPr>
          <w:rStyle w:val="normaltextrun"/>
          <w:rFonts w:ascii="Calibri" w:hAnsi="Calibri" w:cs="Calibri"/>
          <w:sz w:val="22"/>
          <w:szCs w:val="22"/>
        </w:rPr>
        <w:t xml:space="preserve">Expansion of Induction of Buprenorphine via Telemedicine Encounter </w:t>
      </w:r>
      <w:r>
        <w:rPr>
          <w:rStyle w:val="normaltextrun"/>
          <w:rFonts w:ascii="Calibri" w:hAnsi="Calibri" w:cs="Calibri"/>
          <w:sz w:val="22"/>
          <w:szCs w:val="22"/>
        </w:rPr>
        <w:t xml:space="preserve">(hereinafter “Proposed Rule”) includes several revisions to the Code of Federal Regulations (CFR) allowing practitioners to </w:t>
      </w:r>
      <w:r w:rsidR="00770623">
        <w:rPr>
          <w:rStyle w:val="normaltextrun"/>
          <w:rFonts w:ascii="Calibri" w:hAnsi="Calibri" w:cs="Calibri"/>
          <w:sz w:val="22"/>
          <w:szCs w:val="22"/>
        </w:rPr>
        <w:t xml:space="preserve">prescribe </w:t>
      </w:r>
      <w:r w:rsidR="00CC7CB9">
        <w:rPr>
          <w:rStyle w:val="normaltextrun"/>
          <w:rFonts w:ascii="Calibri" w:hAnsi="Calibri" w:cs="Calibri"/>
          <w:sz w:val="22"/>
          <w:szCs w:val="22"/>
        </w:rPr>
        <w:t xml:space="preserve">buprenorphine </w:t>
      </w:r>
      <w:r w:rsidR="00C16C75">
        <w:rPr>
          <w:rStyle w:val="normaltextrun"/>
          <w:rFonts w:ascii="Calibri" w:hAnsi="Calibri" w:cs="Calibri"/>
          <w:sz w:val="22"/>
          <w:szCs w:val="22"/>
        </w:rPr>
        <w:t xml:space="preserve">via </w:t>
      </w:r>
      <w:r>
        <w:rPr>
          <w:rStyle w:val="normaltextrun"/>
          <w:rFonts w:ascii="Calibri" w:hAnsi="Calibri" w:cs="Calibri"/>
          <w:sz w:val="22"/>
          <w:szCs w:val="22"/>
        </w:rPr>
        <w:t>telemedicine</w:t>
      </w:r>
      <w:r w:rsidR="00C75A85">
        <w:rPr>
          <w:rStyle w:val="normaltextrun"/>
          <w:rFonts w:ascii="Calibri" w:hAnsi="Calibri" w:cs="Calibri"/>
          <w:sz w:val="22"/>
          <w:szCs w:val="22"/>
        </w:rPr>
        <w:t>, including audio-only technology,</w:t>
      </w:r>
      <w:r>
        <w:rPr>
          <w:rStyle w:val="normaltextrun"/>
          <w:rFonts w:ascii="Calibri" w:hAnsi="Calibri" w:cs="Calibri"/>
          <w:sz w:val="22"/>
          <w:szCs w:val="22"/>
        </w:rPr>
        <w:t xml:space="preserve"> without having had an in-person evaluation under certain circumstances. The Proposed Rule seeks to reflect the evolution of telehealth since passage of the Ryan Haight </w:t>
      </w:r>
      <w:r w:rsidR="00D90428">
        <w:rPr>
          <w:rStyle w:val="normaltextrun"/>
          <w:rFonts w:ascii="Calibri" w:hAnsi="Calibri" w:cs="Calibri"/>
          <w:sz w:val="22"/>
          <w:szCs w:val="22"/>
        </w:rPr>
        <w:t>Online Pharmacy Consumer Protection Act of 2008 (hereinafter “Ryan Haight Act”)</w:t>
      </w:r>
      <w:r>
        <w:rPr>
          <w:rStyle w:val="normaltextrun"/>
          <w:rFonts w:ascii="Calibri" w:hAnsi="Calibri" w:cs="Calibri"/>
          <w:sz w:val="22"/>
          <w:szCs w:val="22"/>
        </w:rPr>
        <w:t xml:space="preserve"> and the emergence of the COVID-19 public health emergency (PHE). Additionally, the Proposed Rule updates several definitions pertaining to the use of telemedicine, requirements for documentation of telemedicine encounters, and modified regulations allowing for the prescription of </w:t>
      </w:r>
      <w:r w:rsidR="00144282">
        <w:rPr>
          <w:rStyle w:val="normaltextrun"/>
          <w:rFonts w:ascii="Calibri" w:hAnsi="Calibri" w:cs="Calibri"/>
          <w:sz w:val="22"/>
          <w:szCs w:val="22"/>
        </w:rPr>
        <w:t>buprenorphine</w:t>
      </w:r>
      <w:r>
        <w:rPr>
          <w:rStyle w:val="normaltextrun"/>
          <w:rFonts w:ascii="Calibri" w:hAnsi="Calibri" w:cs="Calibri"/>
          <w:sz w:val="22"/>
          <w:szCs w:val="22"/>
        </w:rPr>
        <w:t xml:space="preserve"> for a maximum 30-day supply before requiring an in-person evaluation.</w:t>
      </w:r>
      <w:r>
        <w:rPr>
          <w:rStyle w:val="EndnoteReference"/>
          <w:rFonts w:ascii="Calibri" w:hAnsi="Calibri" w:cs="Calibri"/>
          <w:sz w:val="22"/>
          <w:szCs w:val="22"/>
        </w:rPr>
        <w:endnoteReference w:id="2"/>
      </w:r>
      <w:r>
        <w:rPr>
          <w:rStyle w:val="normaltextrun"/>
          <w:rFonts w:ascii="Calibri" w:hAnsi="Calibri" w:cs="Calibri"/>
          <w:sz w:val="22"/>
          <w:szCs w:val="22"/>
        </w:rPr>
        <w:t xml:space="preserve"> </w:t>
      </w:r>
    </w:p>
    <w:p w14:paraId="48CD7744" w14:textId="77777777" w:rsidR="0056358A" w:rsidRDefault="0056358A" w:rsidP="0056358A">
      <w:pPr>
        <w:pStyle w:val="paragraph"/>
        <w:spacing w:before="0" w:beforeAutospacing="0" w:after="0" w:afterAutospacing="0"/>
        <w:textAlignment w:val="baseline"/>
        <w:rPr>
          <w:rStyle w:val="normaltextrun"/>
          <w:rFonts w:ascii="Calibri" w:hAnsi="Calibri" w:cs="Calibri"/>
          <w:sz w:val="22"/>
          <w:szCs w:val="22"/>
        </w:rPr>
      </w:pPr>
    </w:p>
    <w:p w14:paraId="0D65477E" w14:textId="088B4876" w:rsidR="0056358A" w:rsidRDefault="006139D2" w:rsidP="0056358A">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3157F5">
        <w:rPr>
          <w:rStyle w:val="normaltextrun"/>
          <w:rFonts w:ascii="Calibri" w:hAnsi="Calibri" w:cs="Calibri"/>
          <w:sz w:val="22"/>
          <w:szCs w:val="22"/>
          <w:highlight w:val="yellow"/>
        </w:rPr>
        <w:t>[</w:t>
      </w:r>
      <w:r w:rsidR="00197F8F">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56358A">
        <w:rPr>
          <w:rStyle w:val="normaltextrun"/>
          <w:rFonts w:ascii="Calibri" w:hAnsi="Calibri" w:cs="Calibri"/>
          <w:sz w:val="22"/>
          <w:szCs w:val="22"/>
        </w:rPr>
        <w:t>applauds the swift and timely actions that DEA and the Department of Health and Human Services (HHS) ha</w:t>
      </w:r>
      <w:r w:rsidR="00A918F6">
        <w:rPr>
          <w:rStyle w:val="normaltextrun"/>
          <w:rFonts w:ascii="Calibri" w:hAnsi="Calibri" w:cs="Calibri"/>
          <w:sz w:val="22"/>
          <w:szCs w:val="22"/>
        </w:rPr>
        <w:t>ve</w:t>
      </w:r>
      <w:r w:rsidR="0056358A">
        <w:rPr>
          <w:rStyle w:val="normaltextrun"/>
          <w:rFonts w:ascii="Calibri" w:hAnsi="Calibri" w:cs="Calibri"/>
          <w:sz w:val="22"/>
          <w:szCs w:val="22"/>
        </w:rPr>
        <w:t xml:space="preserve"> taken throughout the course of the COVID-19 PHE to ensure continuity of care for patients </w:t>
      </w:r>
      <w:r w:rsidR="00535CF4">
        <w:rPr>
          <w:rStyle w:val="normaltextrun"/>
          <w:rFonts w:ascii="Calibri" w:hAnsi="Calibri" w:cs="Calibri"/>
          <w:sz w:val="22"/>
          <w:szCs w:val="22"/>
        </w:rPr>
        <w:t>in need of buprenorphine for opioid use disorder (OUD)</w:t>
      </w:r>
      <w:r w:rsidR="0056358A">
        <w:rPr>
          <w:rStyle w:val="normaltextrun"/>
          <w:rFonts w:ascii="Calibri" w:hAnsi="Calibri" w:cs="Calibri"/>
          <w:sz w:val="22"/>
          <w:szCs w:val="22"/>
        </w:rPr>
        <w:t>, particularly through guidance allowing for telemedicine prescriptions without having had an in-person evaluation.</w:t>
      </w:r>
      <w:r w:rsidR="0056358A">
        <w:rPr>
          <w:rStyle w:val="EndnoteReference"/>
          <w:rFonts w:ascii="Calibri" w:hAnsi="Calibri" w:cs="Calibri"/>
          <w:sz w:val="22"/>
          <w:szCs w:val="22"/>
        </w:rPr>
        <w:endnoteReference w:id="3"/>
      </w:r>
      <w:r w:rsidR="0056358A">
        <w:rPr>
          <w:rStyle w:val="normaltextrun"/>
          <w:rFonts w:ascii="Calibri" w:hAnsi="Calibri" w:cs="Calibri"/>
          <w:sz w:val="22"/>
          <w:szCs w:val="22"/>
        </w:rPr>
        <w:t xml:space="preserve"> </w:t>
      </w:r>
      <w:r w:rsidR="0056358A">
        <w:rPr>
          <w:rStyle w:val="normaltextrun"/>
          <w:rFonts w:ascii="Calibri" w:hAnsi="Calibri" w:cs="Calibri"/>
          <w:color w:val="000000"/>
          <w:sz w:val="22"/>
          <w:szCs w:val="22"/>
          <w:shd w:val="clear" w:color="auto" w:fill="FFFFFF"/>
        </w:rPr>
        <w:t xml:space="preserve">At the onset of the PHE, </w:t>
      </w:r>
      <w:r w:rsidRPr="003157F5">
        <w:rPr>
          <w:rStyle w:val="normaltextrun"/>
          <w:rFonts w:ascii="Calibri" w:hAnsi="Calibri" w:cs="Calibri"/>
          <w:sz w:val="22"/>
          <w:szCs w:val="22"/>
          <w:highlight w:val="yellow"/>
        </w:rPr>
        <w:t>[</w:t>
      </w:r>
      <w:r w:rsidR="00197F8F">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56358A">
        <w:rPr>
          <w:rStyle w:val="normaltextrun"/>
          <w:rFonts w:ascii="Calibri" w:hAnsi="Calibri" w:cs="Calibri"/>
          <w:color w:val="000000"/>
          <w:sz w:val="22"/>
          <w:szCs w:val="22"/>
          <w:shd w:val="clear" w:color="auto" w:fill="FFFFFF"/>
        </w:rPr>
        <w:t>quickly pivoted toward serving patients via telehealth in an effort to maintain access to critical, lifesaving mental health and substance use services. Even as the COVID-19 pandemic becomes less invasive to public life, services furnished through telecommunication modalities remain in high demand. Telehealth, as a service delivery modality, is essential for continued access to mental health and substance use services today and undoubtedly into the future.</w:t>
      </w:r>
      <w:r w:rsidR="0056358A">
        <w:rPr>
          <w:rStyle w:val="eop"/>
          <w:rFonts w:ascii="Calibri" w:hAnsi="Calibri" w:cs="Calibri"/>
          <w:color w:val="000000"/>
          <w:sz w:val="22"/>
          <w:szCs w:val="22"/>
          <w:shd w:val="clear" w:color="auto" w:fill="FFFFFF"/>
        </w:rPr>
        <w:t> </w:t>
      </w:r>
    </w:p>
    <w:p w14:paraId="017473CF" w14:textId="77777777" w:rsidR="0056358A" w:rsidRDefault="0056358A" w:rsidP="0056358A">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6B8B872A"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we have associated our comments with the topic sections used in the Proposed Rule, and we have placed our comments in the order in which topics appear in the Proposed Rule. </w:t>
      </w:r>
      <w:r>
        <w:rPr>
          <w:rStyle w:val="eop"/>
          <w:rFonts w:ascii="Calibri" w:hAnsi="Calibri" w:cs="Calibri"/>
          <w:sz w:val="22"/>
          <w:szCs w:val="22"/>
        </w:rPr>
        <w:t> </w:t>
      </w:r>
    </w:p>
    <w:p w14:paraId="62CD5496"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32ED4F" w14:textId="77777777" w:rsidR="0056358A" w:rsidRPr="00702F0B" w:rsidRDefault="0056358A" w:rsidP="0056358A">
      <w:pPr>
        <w:rPr>
          <w:b/>
          <w:bCs/>
          <w:i/>
          <w:iCs/>
          <w:u w:val="single"/>
        </w:rPr>
      </w:pPr>
      <w:r w:rsidRPr="00702F0B">
        <w:rPr>
          <w:b/>
          <w:bCs/>
          <w:i/>
          <w:iCs/>
          <w:u w:val="single"/>
        </w:rPr>
        <w:t>Definitions</w:t>
      </w:r>
    </w:p>
    <w:p w14:paraId="0EC6E258" w14:textId="4342C196" w:rsidR="0056358A" w:rsidRDefault="0056358A" w:rsidP="0056358A">
      <w:r>
        <w:rPr>
          <w:rStyle w:val="normaltextrun"/>
          <w:rFonts w:ascii="Calibri" w:hAnsi="Calibri" w:cs="Calibri"/>
          <w:color w:val="000000"/>
          <w:bdr w:val="none" w:sz="0" w:space="0" w:color="auto" w:frame="1"/>
        </w:rPr>
        <w:t xml:space="preserve">The Proposed Rule </w:t>
      </w:r>
      <w:r w:rsidR="002C34D1">
        <w:rPr>
          <w:rStyle w:val="normaltextrun"/>
          <w:rFonts w:ascii="Calibri" w:hAnsi="Calibri" w:cs="Calibri"/>
          <w:color w:val="000000"/>
          <w:bdr w:val="none" w:sz="0" w:space="0" w:color="auto" w:frame="1"/>
        </w:rPr>
        <w:t>amends</w:t>
      </w:r>
      <w:r>
        <w:rPr>
          <w:rStyle w:val="normaltextrun"/>
          <w:rFonts w:ascii="Calibri" w:hAnsi="Calibri" w:cs="Calibri"/>
          <w:color w:val="000000"/>
          <w:bdr w:val="none" w:sz="0" w:space="0" w:color="auto" w:frame="1"/>
        </w:rPr>
        <w:t xml:space="preserve"> 21 CFR 1300.04 to</w:t>
      </w:r>
      <w:r w:rsidR="00A53024">
        <w:rPr>
          <w:rStyle w:val="normaltextrun"/>
          <w:rFonts w:ascii="Calibri" w:hAnsi="Calibri" w:cs="Calibri"/>
          <w:color w:val="000000"/>
          <w:bdr w:val="none" w:sz="0" w:space="0" w:color="auto" w:frame="1"/>
        </w:rPr>
        <w:t xml:space="preserve"> add</w:t>
      </w:r>
      <w:r>
        <w:rPr>
          <w:rStyle w:val="normaltextrun"/>
          <w:rFonts w:ascii="Calibri" w:hAnsi="Calibri" w:cs="Calibri"/>
          <w:color w:val="000000"/>
          <w:bdr w:val="none" w:sz="0" w:space="0" w:color="auto" w:frame="1"/>
        </w:rPr>
        <w:t xml:space="preserve"> definitions for</w:t>
      </w:r>
      <w:r w:rsidR="00EC72FE">
        <w:rPr>
          <w:rStyle w:val="normaltextrun"/>
          <w:rFonts w:ascii="Calibri" w:hAnsi="Calibri" w:cs="Calibri"/>
          <w:color w:val="000000"/>
          <w:bdr w:val="none" w:sz="0" w:space="0" w:color="auto" w:frame="1"/>
        </w:rPr>
        <w:t xml:space="preserve"> “prescription drug monitoring program” (PDMP) and “telemedicine encounter”</w:t>
      </w:r>
      <w:r>
        <w:rPr>
          <w:rStyle w:val="normaltextrun"/>
          <w:rFonts w:ascii="Calibri" w:hAnsi="Calibri" w:cs="Calibri"/>
          <w:color w:val="000000"/>
          <w:bdr w:val="none" w:sz="0" w:space="0" w:color="auto" w:frame="1"/>
        </w:rPr>
        <w:t>.</w:t>
      </w:r>
      <w:r>
        <w:rPr>
          <w:rStyle w:val="EndnoteReference"/>
          <w:rFonts w:ascii="Calibri" w:hAnsi="Calibri" w:cs="Calibri"/>
          <w:color w:val="000000"/>
          <w:bdr w:val="none" w:sz="0" w:space="0" w:color="auto" w:frame="1"/>
        </w:rPr>
        <w:endnoteReference w:id="4"/>
      </w:r>
      <w:r>
        <w:rPr>
          <w:rStyle w:val="normaltextrun"/>
          <w:rFonts w:ascii="Calibri" w:hAnsi="Calibri" w:cs="Calibri"/>
          <w:color w:val="000000"/>
          <w:bdr w:val="none" w:sz="0" w:space="0" w:color="auto" w:frame="1"/>
        </w:rPr>
        <w:t xml:space="preserve"> </w:t>
      </w:r>
      <w:r w:rsidR="0027217A">
        <w:rPr>
          <w:rStyle w:val="normaltextrun"/>
          <w:rFonts w:ascii="Calibri" w:hAnsi="Calibri" w:cs="Calibri"/>
          <w:color w:val="000000"/>
          <w:bdr w:val="none" w:sz="0" w:space="0" w:color="auto" w:frame="1"/>
        </w:rPr>
        <w:t xml:space="preserve">Under the new definition of a “telemedicine encounter,” </w:t>
      </w:r>
      <w:r w:rsidR="00CF3DEA">
        <w:rPr>
          <w:rStyle w:val="normaltextrun"/>
          <w:rFonts w:ascii="Calibri" w:hAnsi="Calibri" w:cs="Calibri"/>
          <w:color w:val="000000"/>
          <w:bdr w:val="none" w:sz="0" w:space="0" w:color="auto" w:frame="1"/>
        </w:rPr>
        <w:t xml:space="preserve">practitioners are required to use an “interactive telecommunications system” </w:t>
      </w:r>
      <w:r w:rsidR="00B36C7F">
        <w:rPr>
          <w:rStyle w:val="normaltextrun"/>
          <w:rFonts w:ascii="Calibri" w:hAnsi="Calibri" w:cs="Calibri"/>
          <w:color w:val="000000"/>
          <w:bdr w:val="none" w:sz="0" w:space="0" w:color="auto" w:frame="1"/>
        </w:rPr>
        <w:t xml:space="preserve">in alignment </w:t>
      </w:r>
      <w:r>
        <w:rPr>
          <w:rStyle w:val="normaltextrun"/>
          <w:rFonts w:ascii="Calibri" w:hAnsi="Calibri" w:cs="Calibri"/>
          <w:color w:val="000000"/>
          <w:bdr w:val="none" w:sz="0" w:space="0" w:color="auto" w:frame="1"/>
        </w:rPr>
        <w:t xml:space="preserve">with promulgated regulations from the Centers for Medicare and Medicaid Services (CMS). The definition </w:t>
      </w:r>
      <w:r w:rsidR="00A53024">
        <w:rPr>
          <w:rStyle w:val="normaltextrun"/>
          <w:rFonts w:ascii="Calibri" w:hAnsi="Calibri" w:cs="Calibri"/>
          <w:color w:val="000000"/>
          <w:bdr w:val="none" w:sz="0" w:space="0" w:color="auto" w:frame="1"/>
        </w:rPr>
        <w:t xml:space="preserve">currently in use </w:t>
      </w:r>
      <w:r>
        <w:rPr>
          <w:rStyle w:val="normaltextrun"/>
          <w:rFonts w:ascii="Calibri" w:hAnsi="Calibri" w:cs="Calibri"/>
          <w:color w:val="000000"/>
          <w:bdr w:val="none" w:sz="0" w:space="0" w:color="auto" w:frame="1"/>
        </w:rPr>
        <w:t>mirrors the Ryan Haight Act’s statutory definition requiring the use of a “telecommunications system” referred to in the Social Security Act; however, the Social Security Act only references, but does not define, telecommunications systems. Therefore, the Proposed Rule adopts CMS’s definition for “interactive telecommunications system” which states: “</w:t>
      </w:r>
      <w:r>
        <w:t xml:space="preserve">Interactive </w:t>
      </w:r>
      <w:r>
        <w:lastRenderedPageBreak/>
        <w:t>telecommunications system means, except as otherwise provided in this paragraph, multimedia communications equipment that includes, at a minimum, audio and video equipment permitting two-way, real-time interactive communication between the patient and distant site physician or practitioner.”</w:t>
      </w:r>
      <w:r>
        <w:rPr>
          <w:rStyle w:val="EndnoteReference"/>
        </w:rPr>
        <w:endnoteReference w:id="5"/>
      </w:r>
    </w:p>
    <w:p w14:paraId="7EE5FA25" w14:textId="71425A36" w:rsidR="0056358A" w:rsidRDefault="0056358A" w:rsidP="0056358A">
      <w:r>
        <w:t xml:space="preserve">Notably, </w:t>
      </w:r>
      <w:r w:rsidR="001052E1">
        <w:t>the Proposed Rule</w:t>
      </w:r>
      <w:r>
        <w:t xml:space="preserve"> adopts the CMS carve out for “services furnished for purposes of diagnosis, evaluation, or treatment of a mental health disorder.”</w:t>
      </w:r>
      <w:r>
        <w:rPr>
          <w:rStyle w:val="EndnoteReference"/>
        </w:rPr>
        <w:endnoteReference w:id="6"/>
      </w:r>
      <w:r>
        <w:t xml:space="preserve"> Under the revised definition, interactive communications may include audio-only technology if the patient is located in their home and the provider is technically capable of providing audio-video technology but the patient is not capable of, or does not consent to, the use of video technology. </w:t>
      </w:r>
      <w:r w:rsidR="00564D12" w:rsidRPr="003157F5">
        <w:rPr>
          <w:rStyle w:val="normaltextrun"/>
          <w:rFonts w:ascii="Calibri" w:hAnsi="Calibri" w:cs="Calibri"/>
          <w:highlight w:val="yellow"/>
        </w:rPr>
        <w:t>[</w:t>
      </w:r>
      <w:r w:rsidR="00197F8F">
        <w:rPr>
          <w:rStyle w:val="normaltextrun"/>
          <w:rFonts w:ascii="Calibri" w:hAnsi="Calibri" w:cs="Calibri"/>
          <w:highlight w:val="yellow"/>
        </w:rPr>
        <w:t>O</w:t>
      </w:r>
      <w:r w:rsidR="00564D12" w:rsidRPr="003157F5">
        <w:rPr>
          <w:rStyle w:val="normaltextrun"/>
          <w:rFonts w:ascii="Calibri" w:hAnsi="Calibri" w:cs="Calibri"/>
          <w:highlight w:val="yellow"/>
        </w:rPr>
        <w:t>rganization name]</w:t>
      </w:r>
      <w:r w:rsidR="00564D12">
        <w:rPr>
          <w:rStyle w:val="normaltextrun"/>
          <w:rFonts w:ascii="Calibri" w:hAnsi="Calibri" w:cs="Calibri"/>
        </w:rPr>
        <w:t xml:space="preserve"> </w:t>
      </w:r>
      <w:r>
        <w:t>applauds the inclusion of audio-only telemedicine for mental health disorders and recommends that DEA further clarify the intended meaning of “mental health disorders.” The</w:t>
      </w:r>
      <w:r w:rsidDel="00592E60">
        <w:t xml:space="preserve"> </w:t>
      </w:r>
      <w:r w:rsidR="00592E60">
        <w:t xml:space="preserve">Proposed Rule’s </w:t>
      </w:r>
      <w:r>
        <w:t xml:space="preserve">stated intention for aligning the definition of </w:t>
      </w:r>
      <w:r w:rsidR="4DBD9653">
        <w:t>the</w:t>
      </w:r>
      <w:r>
        <w:t xml:space="preserve"> “practice of telemedicine” with CMS regulations is a result of ambiguity in the </w:t>
      </w:r>
      <w:r w:rsidR="00271263">
        <w:t xml:space="preserve">original definition provided in the </w:t>
      </w:r>
      <w:r>
        <w:t>Social Security Act.</w:t>
      </w:r>
      <w:r w:rsidR="009477F9">
        <w:t xml:space="preserve"> “Practice of telemedicine” was mentioned in the Social Security Act, but never defined.</w:t>
      </w:r>
      <w:r>
        <w:t xml:space="preserve"> </w:t>
      </w:r>
      <w:r w:rsidR="00B4391D">
        <w:t>Notably</w:t>
      </w:r>
      <w:r>
        <w:t xml:space="preserve">, the term “mental health disorder” </w:t>
      </w:r>
      <w:r w:rsidR="45462A1B">
        <w:t>remains</w:t>
      </w:r>
      <w:r>
        <w:t xml:space="preserve"> undefined in the CMS regulation</w:t>
      </w:r>
      <w:r w:rsidR="00605397">
        <w:t xml:space="preserve"> and the Proposed Rule</w:t>
      </w:r>
      <w:r w:rsidR="00400824">
        <w:t>. Th</w:t>
      </w:r>
      <w:r w:rsidR="002D27EC">
        <w:t>e absence of a definition may</w:t>
      </w:r>
      <w:r w:rsidR="00BC03DE">
        <w:t xml:space="preserve"> </w:t>
      </w:r>
      <w:r>
        <w:t xml:space="preserve">lead to the same confusion that prompted a clarification for the “practice of telemedicine.” </w:t>
      </w:r>
      <w:r w:rsidR="00D24B61">
        <w:t xml:space="preserve"> Moreover, </w:t>
      </w:r>
      <w:r w:rsidR="00A1797E">
        <w:t>it appears that DEA includ</w:t>
      </w:r>
      <w:r w:rsidR="003C0CD9">
        <w:t>es</w:t>
      </w:r>
      <w:r w:rsidR="00A1797E">
        <w:t xml:space="preserve"> opioid use disorder (OUD) under the umbrella of metal health disorders as this</w:t>
      </w:r>
      <w:r w:rsidR="00FF685D">
        <w:t xml:space="preserve"> is the enabling</w:t>
      </w:r>
      <w:r w:rsidR="00A1797E">
        <w:t xml:space="preserve"> provision </w:t>
      </w:r>
      <w:r w:rsidR="007B3C2E">
        <w:t>for</w:t>
      </w:r>
      <w:r w:rsidR="003C0CD9">
        <w:t xml:space="preserve"> the use of</w:t>
      </w:r>
      <w:r w:rsidR="007469F7">
        <w:t xml:space="preserve"> audio-only technology to provide buprenorphine. </w:t>
      </w:r>
      <w:r>
        <w:t xml:space="preserve">To ensure that practitioners have clear parameters for qualifying conditions, </w:t>
      </w:r>
      <w:r w:rsidR="00C839E3" w:rsidRPr="003157F5">
        <w:rPr>
          <w:rStyle w:val="normaltextrun"/>
          <w:rFonts w:ascii="Calibri" w:hAnsi="Calibri" w:cs="Calibri"/>
          <w:highlight w:val="yellow"/>
        </w:rPr>
        <w:t>[</w:t>
      </w:r>
      <w:r w:rsidR="00197F8F">
        <w:rPr>
          <w:rStyle w:val="normaltextrun"/>
          <w:rFonts w:ascii="Calibri" w:hAnsi="Calibri" w:cs="Calibri"/>
          <w:highlight w:val="yellow"/>
        </w:rPr>
        <w:t>O</w:t>
      </w:r>
      <w:r w:rsidR="00C839E3" w:rsidRPr="003157F5">
        <w:rPr>
          <w:rStyle w:val="normaltextrun"/>
          <w:rFonts w:ascii="Calibri" w:hAnsi="Calibri" w:cs="Calibri"/>
          <w:highlight w:val="yellow"/>
        </w:rPr>
        <w:t>rganization name]</w:t>
      </w:r>
      <w:r w:rsidR="00C839E3">
        <w:rPr>
          <w:rStyle w:val="normaltextrun"/>
          <w:rFonts w:ascii="Calibri" w:hAnsi="Calibri" w:cs="Calibri"/>
        </w:rPr>
        <w:t xml:space="preserve"> </w:t>
      </w:r>
      <w:r>
        <w:t xml:space="preserve">proposes a definition for “mental health disorders” to include </w:t>
      </w:r>
      <w:r w:rsidR="00FB51D6">
        <w:t>“</w:t>
      </w:r>
      <w:r w:rsidR="00FB51D6" w:rsidRPr="0075722C">
        <w:rPr>
          <w:rFonts w:ascii="Calibri" w:hAnsi="Calibri" w:cs="Calibri"/>
          <w:color w:val="000000"/>
        </w:rPr>
        <w:t>someone having a diagnosable mental, behavior, or emotional disorder that causes serious functional impairment that substantially interferes with or limits one or more major life activities.</w:t>
      </w:r>
      <w:r w:rsidR="00FB51D6">
        <w:rPr>
          <w:rFonts w:ascii="Calibri" w:hAnsi="Calibri" w:cs="Calibri"/>
          <w:color w:val="000000"/>
        </w:rPr>
        <w:t>”</w:t>
      </w:r>
      <w:r w:rsidR="004D54CE">
        <w:rPr>
          <w:rStyle w:val="EndnoteReference"/>
          <w:rFonts w:ascii="Calibri" w:hAnsi="Calibri" w:cs="Calibri"/>
          <w:color w:val="000000"/>
        </w:rPr>
        <w:endnoteReference w:id="7"/>
      </w:r>
    </w:p>
    <w:p w14:paraId="57BA55C6" w14:textId="77777777" w:rsidR="0056358A" w:rsidRDefault="0056358A" w:rsidP="0056358A"/>
    <w:p w14:paraId="2A8A35A6" w14:textId="77777777" w:rsidR="0056358A" w:rsidRDefault="0056358A" w:rsidP="0056358A">
      <w:pPr>
        <w:rPr>
          <w:b/>
          <w:bCs/>
          <w:i/>
          <w:iCs/>
          <w:u w:val="single"/>
        </w:rPr>
      </w:pPr>
      <w:r>
        <w:rPr>
          <w:b/>
          <w:bCs/>
          <w:i/>
          <w:iCs/>
          <w:u w:val="single"/>
        </w:rPr>
        <w:t>Prescriptions</w:t>
      </w:r>
    </w:p>
    <w:p w14:paraId="1338E651" w14:textId="38142B6A" w:rsidR="0056358A" w:rsidRDefault="0056358A" w:rsidP="0056358A">
      <w:r>
        <w:t xml:space="preserve">The Proposed Rule adds several requirements practitioners would have to satisfy to prescribe </w:t>
      </w:r>
      <w:r w:rsidR="007B59E0">
        <w:t>buprenorphine</w:t>
      </w:r>
      <w:r>
        <w:t xml:space="preserve"> utilizing telemedicine. In particular, </w:t>
      </w:r>
      <w:r w:rsidR="00155E49">
        <w:t xml:space="preserve">the </w:t>
      </w:r>
      <w:r w:rsidR="00C839E3">
        <w:t>P</w:t>
      </w:r>
      <w:r w:rsidR="00155E49">
        <w:t xml:space="preserve">roposed </w:t>
      </w:r>
      <w:r w:rsidR="00C839E3">
        <w:t>R</w:t>
      </w:r>
      <w:r w:rsidR="00155E49">
        <w:t>ule</w:t>
      </w:r>
      <w:r w:rsidR="00A91118">
        <w:t xml:space="preserve"> requires </w:t>
      </w:r>
      <w:r>
        <w:t xml:space="preserve">telemedicine only be used to issue a prescription for a legitimate medical purpose by practitioners acting in the usual course of business; requires all practitioners engaged in telemedicine to be located in a state, territory, or possession of the United States, the District of Columbia, or the Commonwealth of Puerto Rico at the time of the telemedicine encounter; and </w:t>
      </w:r>
      <w:r w:rsidR="00A91118">
        <w:t xml:space="preserve">requires </w:t>
      </w:r>
      <w:r>
        <w:t>practitioners be authorized to prescribe controlled substances under</w:t>
      </w:r>
      <w:r w:rsidR="00FF7C3D">
        <w:t xml:space="preserve"> their DEA-registration</w:t>
      </w:r>
      <w:r w:rsidR="004C6498">
        <w:t xml:space="preserve"> a</w:t>
      </w:r>
      <w:r w:rsidR="004878CF">
        <w:t xml:space="preserve">s well as </w:t>
      </w:r>
      <w:r w:rsidR="00722A68">
        <w:t xml:space="preserve">applicable state </w:t>
      </w:r>
      <w:r w:rsidR="008C43EA">
        <w:t>registrations</w:t>
      </w:r>
      <w:r w:rsidR="00722A68">
        <w:t xml:space="preserve"> </w:t>
      </w:r>
      <w:r>
        <w:t>in</w:t>
      </w:r>
      <w:r w:rsidR="004878CF">
        <w:t xml:space="preserve"> both</w:t>
      </w:r>
      <w:r>
        <w:t xml:space="preserve"> the state where the practitioner is located</w:t>
      </w:r>
      <w:r w:rsidR="004878CF">
        <w:t xml:space="preserve"> and the</w:t>
      </w:r>
      <w:r>
        <w:t xml:space="preserve"> state where the patient is located.</w:t>
      </w:r>
      <w:r>
        <w:rPr>
          <w:rStyle w:val="EndnoteReference"/>
        </w:rPr>
        <w:endnoteReference w:id="8"/>
      </w:r>
      <w:r>
        <w:t xml:space="preserve"> Under these circumstances, a practitioner may use telemedicine to prescribe </w:t>
      </w:r>
      <w:r w:rsidR="009812BF">
        <w:t>buprenorphine</w:t>
      </w:r>
      <w:r>
        <w:t xml:space="preserve"> </w:t>
      </w:r>
      <w:r w:rsidR="005566F1">
        <w:t xml:space="preserve">in an amount less than or equal to </w:t>
      </w:r>
      <w:r>
        <w:t>a maximum 30-day supply. After 30 calendar days from the date the telemedicine prescription was issued, practitioners are prohibited from further prescribing until one of the following conditions is met:</w:t>
      </w:r>
    </w:p>
    <w:p w14:paraId="08E87012" w14:textId="77777777" w:rsidR="0056358A" w:rsidRDefault="0056358A" w:rsidP="0056358A">
      <w:pPr>
        <w:pStyle w:val="ListParagraph"/>
        <w:numPr>
          <w:ilvl w:val="0"/>
          <w:numId w:val="1"/>
        </w:numPr>
      </w:pPr>
      <w:r>
        <w:t>The prescribing telemedicine practitioner conducts an in-person exam of the patient.</w:t>
      </w:r>
    </w:p>
    <w:p w14:paraId="58201052" w14:textId="281A1DFF" w:rsidR="0056358A" w:rsidRDefault="0056358A" w:rsidP="0056358A">
      <w:pPr>
        <w:pStyle w:val="ListParagraph"/>
        <w:numPr>
          <w:ilvl w:val="0"/>
          <w:numId w:val="1"/>
        </w:numPr>
      </w:pPr>
      <w:r>
        <w:t xml:space="preserve">The prescribing practitioner conducts a telemedicine encounter with the patient while the patient is located in the physical presence of another DEA-registered practitioner. This telemedicine encounter requires audio-visual technology and does not provide a carve out for individuals being treated for a </w:t>
      </w:r>
      <w:r w:rsidR="00FC4B7D">
        <w:t>“</w:t>
      </w:r>
      <w:r>
        <w:t>mental health disorder.</w:t>
      </w:r>
      <w:r w:rsidR="00FC4B7D">
        <w:t>”</w:t>
      </w:r>
    </w:p>
    <w:p w14:paraId="611EF2F4" w14:textId="77777777" w:rsidR="0056358A" w:rsidRDefault="0056358A" w:rsidP="0056358A">
      <w:pPr>
        <w:pStyle w:val="ListParagraph"/>
        <w:numPr>
          <w:ilvl w:val="0"/>
          <w:numId w:val="1"/>
        </w:numPr>
      </w:pPr>
      <w:r>
        <w:t xml:space="preserve">A DEA-registered practitioner conducts an in-person exam and sends a qualifying telemedicine referral, including the results of the evaluation, to a prescribing practitioner. Under this </w:t>
      </w:r>
      <w:r>
        <w:lastRenderedPageBreak/>
        <w:t xml:space="preserve">condition, the prescription may be issued for any controlled substance that the practitioner is otherwise authorized to prescribe. </w:t>
      </w:r>
    </w:p>
    <w:p w14:paraId="7B5B5A52" w14:textId="348F77EB" w:rsidR="0056358A" w:rsidRDefault="0056358A" w:rsidP="0056358A">
      <w:r>
        <w:t xml:space="preserve">After completion of one of the above conditions, the Proposed Rule would allow a practitioner to continue prescribing </w:t>
      </w:r>
      <w:r w:rsidR="00952C08">
        <w:t>buprenorphine</w:t>
      </w:r>
      <w:r>
        <w:t xml:space="preserve"> without additional in-person or telemedicine evaluations.</w:t>
      </w:r>
      <w:r>
        <w:rPr>
          <w:rStyle w:val="EndnoteReference"/>
        </w:rPr>
        <w:endnoteReference w:id="9"/>
      </w:r>
    </w:p>
    <w:p w14:paraId="7AA4FA44" w14:textId="1F85D499" w:rsidR="0056358A" w:rsidRDefault="009E3DBF" w:rsidP="0056358A">
      <w:r w:rsidRPr="003157F5">
        <w:rPr>
          <w:rStyle w:val="normaltextrun"/>
          <w:rFonts w:ascii="Calibri" w:hAnsi="Calibri" w:cs="Calibri"/>
          <w:highlight w:val="yellow"/>
        </w:rPr>
        <w:t>[</w:t>
      </w:r>
      <w:r w:rsidR="00197F8F">
        <w:rPr>
          <w:rStyle w:val="normaltextrun"/>
          <w:rFonts w:ascii="Calibri" w:hAnsi="Calibri" w:cs="Calibri"/>
          <w:highlight w:val="yellow"/>
        </w:rPr>
        <w:t>O</w:t>
      </w:r>
      <w:r w:rsidRPr="003157F5">
        <w:rPr>
          <w:rStyle w:val="normaltextrun"/>
          <w:rFonts w:ascii="Calibri" w:hAnsi="Calibri" w:cs="Calibri"/>
          <w:highlight w:val="yellow"/>
        </w:rPr>
        <w:t>rganization name]</w:t>
      </w:r>
      <w:r>
        <w:rPr>
          <w:rStyle w:val="normaltextrun"/>
          <w:rFonts w:ascii="Calibri" w:hAnsi="Calibri" w:cs="Calibri"/>
        </w:rPr>
        <w:t xml:space="preserve"> </w:t>
      </w:r>
      <w:r w:rsidR="0056358A">
        <w:t xml:space="preserve">recognizes the nuanced position required of the DEA in promulgating the above </w:t>
      </w:r>
      <w:r w:rsidR="00AA6D66">
        <w:t>Proposed Rule</w:t>
      </w:r>
      <w:r w:rsidR="0056358A">
        <w:t>. The COVID-19 pandemic contributed to increases in behavioral health challenges including symptoms of anxiety and depressive disorder (30.9%), initiation or increased use of substances (13.3%), as well as suicidal ideation (10.7%).</w:t>
      </w:r>
      <w:r w:rsidR="0056358A">
        <w:rPr>
          <w:rStyle w:val="EndnoteReference"/>
        </w:rPr>
        <w:endnoteReference w:id="10"/>
      </w:r>
      <w:r w:rsidR="0056358A">
        <w:t xml:space="preserve"> As a result of swift and decisive action from the federal government, including waiving the Ryan Haight Act’s in-person requirement, telemedicine </w:t>
      </w:r>
      <w:r w:rsidR="002D4842">
        <w:t>surged</w:t>
      </w:r>
      <w:r w:rsidR="0056358A">
        <w:t xml:space="preserve"> for individuals in need of critical services for mental health and substance use disorders. </w:t>
      </w:r>
    </w:p>
    <w:p w14:paraId="2621F3EC" w14:textId="719AFCA4" w:rsidR="0056358A" w:rsidRDefault="0056358A" w:rsidP="0056358A">
      <w:pPr>
        <w:pStyle w:val="paragraph"/>
        <w:spacing w:before="0" w:beforeAutospacing="0" w:after="0" w:afterAutospacing="0"/>
        <w:textAlignment w:val="baseline"/>
        <w:rPr>
          <w:rFonts w:ascii="Calibri" w:eastAsia="Calibri" w:hAnsi="Calibri" w:cs="Arial"/>
          <w:sz w:val="22"/>
          <w:szCs w:val="22"/>
        </w:rPr>
      </w:pPr>
      <w:r w:rsidRPr="00FE56B3">
        <w:rPr>
          <w:rFonts w:ascii="Calibri" w:hAnsi="Calibri" w:cs="Calibri"/>
          <w:sz w:val="22"/>
          <w:szCs w:val="22"/>
        </w:rPr>
        <w:t xml:space="preserve">In May 2020, </w:t>
      </w:r>
      <w:r w:rsidR="000E7615">
        <w:rPr>
          <w:rFonts w:ascii="Calibri" w:hAnsi="Calibri" w:cs="Calibri"/>
          <w:sz w:val="22"/>
          <w:szCs w:val="22"/>
        </w:rPr>
        <w:t xml:space="preserve">the </w:t>
      </w:r>
      <w:r w:rsidRPr="00FE56B3">
        <w:rPr>
          <w:rFonts w:ascii="Calibri" w:hAnsi="Calibri" w:cs="Calibri"/>
          <w:sz w:val="22"/>
          <w:szCs w:val="22"/>
        </w:rPr>
        <w:t>National Council</w:t>
      </w:r>
      <w:r w:rsidR="000E7615">
        <w:rPr>
          <w:rFonts w:ascii="Calibri" w:hAnsi="Calibri" w:cs="Calibri"/>
          <w:sz w:val="22"/>
          <w:szCs w:val="22"/>
        </w:rPr>
        <w:t xml:space="preserve"> for Mental Wellbeing</w:t>
      </w:r>
      <w:r w:rsidRPr="00FE56B3">
        <w:rPr>
          <w:rFonts w:ascii="Calibri" w:hAnsi="Calibri" w:cs="Calibri"/>
          <w:sz w:val="22"/>
          <w:szCs w:val="22"/>
        </w:rPr>
        <w:t>, in partnership with Qualifacts, conducted a survey of behavioral health providers that found prior to the PHE, 93% of survey respondents indicated they provided less than 20% of their care in a virtual setting.</w:t>
      </w:r>
      <w:r w:rsidRPr="00FE56B3">
        <w:rPr>
          <w:rFonts w:ascii="Calibri" w:hAnsi="Calibri" w:cs="Calibri"/>
          <w:sz w:val="22"/>
          <w:szCs w:val="22"/>
          <w:vertAlign w:val="superscript"/>
        </w:rPr>
        <w:endnoteReference w:id="11"/>
      </w:r>
      <w:r w:rsidRPr="00FE56B3">
        <w:rPr>
          <w:rFonts w:ascii="Calibri" w:hAnsi="Calibri" w:cs="Calibri"/>
          <w:sz w:val="22"/>
          <w:szCs w:val="22"/>
        </w:rPr>
        <w:t xml:space="preserve"> The same survey demonstrated that in the span of just weeks the figure soared, with 60% of respondents indicating they were offering up to 80% of care virtually. Additionally, survey respondents cited the expansion of services that may be delivered via telehealth as one of the most impactful policy changes in facilitating the transition to virtual care. </w:t>
      </w:r>
      <w:r w:rsidRPr="00FE56B3">
        <w:rPr>
          <w:rFonts w:ascii="Calibri" w:eastAsia="Calibri" w:hAnsi="Calibri" w:cs="Arial"/>
          <w:sz w:val="22"/>
          <w:szCs w:val="22"/>
        </w:rPr>
        <w:t>During the initial months of the PHE and amidst stay-at-home orders, telehealth enabled mental health and substance use organizations to provide a critical connection to consumers. The efficiency and clinical effectiveness of telehealth for mental health and substance use services on a longer-term basis has become increasingly clear during the COVID-19 pandemic.</w:t>
      </w:r>
    </w:p>
    <w:p w14:paraId="7F9769E4" w14:textId="77777777" w:rsidR="0056358A" w:rsidRDefault="0056358A" w:rsidP="0056358A">
      <w:pPr>
        <w:pStyle w:val="paragraph"/>
        <w:spacing w:before="0" w:beforeAutospacing="0" w:after="0" w:afterAutospacing="0"/>
        <w:textAlignment w:val="baseline"/>
        <w:rPr>
          <w:rFonts w:ascii="Calibri" w:eastAsia="Calibri" w:hAnsi="Calibri" w:cs="Arial"/>
          <w:sz w:val="22"/>
          <w:szCs w:val="22"/>
        </w:rPr>
      </w:pPr>
    </w:p>
    <w:p w14:paraId="2974440D" w14:textId="681A3924" w:rsidR="00C2555F" w:rsidRDefault="0056358A" w:rsidP="298034F6">
      <w:pPr>
        <w:pStyle w:val="paragraph"/>
        <w:spacing w:before="0" w:beforeAutospacing="0" w:after="0" w:afterAutospacing="0"/>
        <w:textAlignment w:val="baseline"/>
        <w:rPr>
          <w:rFonts w:ascii="Calibri" w:eastAsia="Calibri" w:hAnsi="Calibri" w:cs="Arial"/>
          <w:sz w:val="22"/>
          <w:szCs w:val="22"/>
        </w:rPr>
      </w:pPr>
      <w:r>
        <w:rPr>
          <w:rFonts w:ascii="Calibri" w:eastAsia="Calibri" w:hAnsi="Calibri" w:cs="Arial"/>
          <w:sz w:val="22"/>
          <w:szCs w:val="22"/>
        </w:rPr>
        <w:t xml:space="preserve">While </w:t>
      </w:r>
      <w:r w:rsidR="0030556C" w:rsidRPr="003157F5">
        <w:rPr>
          <w:rStyle w:val="normaltextrun"/>
          <w:rFonts w:ascii="Calibri" w:hAnsi="Calibri" w:cs="Calibri"/>
          <w:sz w:val="22"/>
          <w:szCs w:val="22"/>
          <w:highlight w:val="yellow"/>
        </w:rPr>
        <w:t>[</w:t>
      </w:r>
      <w:r w:rsidR="00197F8F">
        <w:rPr>
          <w:rStyle w:val="normaltextrun"/>
          <w:rFonts w:ascii="Calibri" w:hAnsi="Calibri" w:cs="Calibri"/>
          <w:sz w:val="22"/>
          <w:szCs w:val="22"/>
          <w:highlight w:val="yellow"/>
        </w:rPr>
        <w:t>O</w:t>
      </w:r>
      <w:r w:rsidR="0030556C" w:rsidRPr="003157F5">
        <w:rPr>
          <w:rStyle w:val="normaltextrun"/>
          <w:rFonts w:ascii="Calibri" w:hAnsi="Calibri" w:cs="Calibri"/>
          <w:sz w:val="22"/>
          <w:szCs w:val="22"/>
          <w:highlight w:val="yellow"/>
        </w:rPr>
        <w:t>rganization name]</w:t>
      </w:r>
      <w:r w:rsidR="0030556C">
        <w:rPr>
          <w:rStyle w:val="normaltextrun"/>
          <w:rFonts w:ascii="Calibri" w:hAnsi="Calibri" w:cs="Calibri"/>
          <w:sz w:val="22"/>
          <w:szCs w:val="22"/>
        </w:rPr>
        <w:t xml:space="preserve"> </w:t>
      </w:r>
      <w:r>
        <w:rPr>
          <w:rFonts w:ascii="Calibri" w:eastAsia="Calibri" w:hAnsi="Calibri" w:cs="Arial"/>
          <w:sz w:val="22"/>
          <w:szCs w:val="22"/>
        </w:rPr>
        <w:t xml:space="preserve">is supportive of the expanded use of telehealth during the COVID-19 pandemic, the opioid crisis continues to present a </w:t>
      </w:r>
      <w:r w:rsidR="00355356">
        <w:rPr>
          <w:rFonts w:ascii="Calibri" w:eastAsia="Calibri" w:hAnsi="Calibri" w:cs="Arial"/>
          <w:sz w:val="22"/>
          <w:szCs w:val="22"/>
        </w:rPr>
        <w:t>significant</w:t>
      </w:r>
      <w:r>
        <w:rPr>
          <w:rFonts w:ascii="Calibri" w:eastAsia="Calibri" w:hAnsi="Calibri" w:cs="Arial"/>
          <w:sz w:val="22"/>
          <w:szCs w:val="22"/>
        </w:rPr>
        <w:t xml:space="preserve"> challenge with more than 107,000 Americans dying from a drug overdose in 2021.</w:t>
      </w:r>
      <w:r>
        <w:rPr>
          <w:rStyle w:val="EndnoteReference"/>
          <w:rFonts w:ascii="Calibri" w:eastAsia="Calibri" w:hAnsi="Calibri" w:cs="Arial"/>
          <w:sz w:val="22"/>
          <w:szCs w:val="22"/>
        </w:rPr>
        <w:endnoteReference w:id="12"/>
      </w:r>
      <w:r>
        <w:rPr>
          <w:rFonts w:ascii="Calibri" w:eastAsia="Calibri" w:hAnsi="Calibri" w:cs="Arial"/>
          <w:sz w:val="22"/>
          <w:szCs w:val="22"/>
        </w:rPr>
        <w:t xml:space="preserve"> The Proposed Rule attempts to strike a balance between the flexibilities provided during the pandemic – which have received significant support from providers and patients – and continued efforts to manage diversion and public health concerns.</w:t>
      </w:r>
      <w:r w:rsidR="00BC4B41">
        <w:rPr>
          <w:rStyle w:val="EndnoteReference"/>
          <w:rFonts w:ascii="Calibri" w:eastAsia="Calibri" w:hAnsi="Calibri" w:cs="Arial"/>
          <w:sz w:val="22"/>
          <w:szCs w:val="22"/>
        </w:rPr>
        <w:endnoteReference w:id="13"/>
      </w:r>
      <w:r>
        <w:rPr>
          <w:rFonts w:ascii="Calibri" w:eastAsia="Calibri" w:hAnsi="Calibri" w:cs="Arial"/>
          <w:sz w:val="22"/>
          <w:szCs w:val="22"/>
        </w:rPr>
        <w:t xml:space="preserve"> </w:t>
      </w:r>
      <w:r w:rsidR="000611B4">
        <w:rPr>
          <w:rFonts w:ascii="Calibri" w:eastAsia="Calibri" w:hAnsi="Calibri" w:cs="Arial"/>
          <w:sz w:val="22"/>
          <w:szCs w:val="22"/>
        </w:rPr>
        <w:t xml:space="preserve">Unfortunately, </w:t>
      </w:r>
      <w:r w:rsidR="008765E3">
        <w:rPr>
          <w:rFonts w:ascii="Calibri" w:eastAsia="Calibri" w:hAnsi="Calibri" w:cs="Arial"/>
          <w:sz w:val="22"/>
          <w:szCs w:val="22"/>
        </w:rPr>
        <w:t>the Proposed Rule</w:t>
      </w:r>
      <w:r w:rsidR="002431CC">
        <w:rPr>
          <w:rFonts w:ascii="Calibri" w:eastAsia="Calibri" w:hAnsi="Calibri" w:cs="Arial"/>
          <w:sz w:val="22"/>
          <w:szCs w:val="22"/>
        </w:rPr>
        <w:t xml:space="preserve">’s </w:t>
      </w:r>
      <w:r w:rsidR="00E532B6">
        <w:rPr>
          <w:rFonts w:ascii="Calibri" w:eastAsia="Calibri" w:hAnsi="Calibri" w:cs="Arial"/>
          <w:sz w:val="22"/>
          <w:szCs w:val="22"/>
        </w:rPr>
        <w:t xml:space="preserve">limitation of </w:t>
      </w:r>
      <w:r w:rsidR="002431CC" w:rsidDel="009D608D">
        <w:rPr>
          <w:rFonts w:ascii="Calibri" w:eastAsia="Calibri" w:hAnsi="Calibri" w:cs="Arial"/>
          <w:sz w:val="22"/>
          <w:szCs w:val="22"/>
        </w:rPr>
        <w:t>a</w:t>
      </w:r>
      <w:r w:rsidR="002431CC">
        <w:rPr>
          <w:rFonts w:ascii="Calibri" w:eastAsia="Calibri" w:hAnsi="Calibri" w:cs="Arial"/>
          <w:sz w:val="22"/>
          <w:szCs w:val="22"/>
        </w:rPr>
        <w:t xml:space="preserve"> 30-day supply </w:t>
      </w:r>
      <w:r w:rsidR="00E532B6">
        <w:rPr>
          <w:rFonts w:ascii="Calibri" w:eastAsia="Calibri" w:hAnsi="Calibri" w:cs="Arial"/>
          <w:sz w:val="22"/>
          <w:szCs w:val="22"/>
        </w:rPr>
        <w:t xml:space="preserve">for </w:t>
      </w:r>
      <w:r w:rsidR="002431CC">
        <w:rPr>
          <w:rFonts w:ascii="Calibri" w:eastAsia="Calibri" w:hAnsi="Calibri" w:cs="Arial"/>
          <w:sz w:val="22"/>
          <w:szCs w:val="22"/>
        </w:rPr>
        <w:t>buprenorphine</w:t>
      </w:r>
      <w:r w:rsidR="005D0101">
        <w:rPr>
          <w:rFonts w:ascii="Calibri" w:eastAsia="Calibri" w:hAnsi="Calibri" w:cs="Arial"/>
          <w:sz w:val="22"/>
          <w:szCs w:val="22"/>
        </w:rPr>
        <w:t xml:space="preserve"> fails </w:t>
      </w:r>
      <w:r w:rsidR="00A70B39">
        <w:rPr>
          <w:rFonts w:ascii="Calibri" w:eastAsia="Calibri" w:hAnsi="Calibri" w:cs="Arial"/>
          <w:sz w:val="22"/>
          <w:szCs w:val="22"/>
        </w:rPr>
        <w:t xml:space="preserve">to find an appropriate balance </w:t>
      </w:r>
      <w:r w:rsidR="005D0101">
        <w:rPr>
          <w:rFonts w:ascii="Calibri" w:eastAsia="Calibri" w:hAnsi="Calibri" w:cs="Arial"/>
          <w:sz w:val="22"/>
          <w:szCs w:val="22"/>
        </w:rPr>
        <w:t>and lacks consideration of</w:t>
      </w:r>
      <w:r w:rsidR="0053171E">
        <w:rPr>
          <w:rFonts w:ascii="Calibri" w:eastAsia="Calibri" w:hAnsi="Calibri" w:cs="Arial"/>
          <w:sz w:val="22"/>
          <w:szCs w:val="22"/>
        </w:rPr>
        <w:t xml:space="preserve"> </w:t>
      </w:r>
      <w:r w:rsidR="00CA1496">
        <w:rPr>
          <w:rFonts w:ascii="Calibri" w:eastAsia="Calibri" w:hAnsi="Calibri" w:cs="Arial"/>
          <w:sz w:val="22"/>
          <w:szCs w:val="22"/>
        </w:rPr>
        <w:t>compelling</w:t>
      </w:r>
      <w:r w:rsidR="00A3541E">
        <w:rPr>
          <w:rFonts w:ascii="Calibri" w:eastAsia="Calibri" w:hAnsi="Calibri" w:cs="Arial"/>
          <w:sz w:val="22"/>
          <w:szCs w:val="22"/>
        </w:rPr>
        <w:t xml:space="preserve"> data</w:t>
      </w:r>
      <w:r w:rsidR="4B252EE2">
        <w:rPr>
          <w:rFonts w:ascii="Calibri" w:eastAsia="Calibri" w:hAnsi="Calibri" w:cs="Arial"/>
          <w:sz w:val="22"/>
          <w:szCs w:val="22"/>
        </w:rPr>
        <w:t>, as well as</w:t>
      </w:r>
      <w:r w:rsidR="00C012EA">
        <w:rPr>
          <w:rFonts w:ascii="Calibri" w:eastAsia="Calibri" w:hAnsi="Calibri" w:cs="Arial"/>
          <w:sz w:val="22"/>
          <w:szCs w:val="22"/>
        </w:rPr>
        <w:t xml:space="preserve"> </w:t>
      </w:r>
      <w:r w:rsidR="004A0450">
        <w:rPr>
          <w:rFonts w:ascii="Calibri" w:eastAsia="Calibri" w:hAnsi="Calibri" w:cs="Arial"/>
          <w:sz w:val="22"/>
          <w:szCs w:val="22"/>
        </w:rPr>
        <w:t xml:space="preserve">calls </w:t>
      </w:r>
      <w:r w:rsidR="0083115C">
        <w:rPr>
          <w:rFonts w:ascii="Calibri" w:eastAsia="Calibri" w:hAnsi="Calibri" w:cs="Arial"/>
          <w:sz w:val="22"/>
          <w:szCs w:val="22"/>
        </w:rPr>
        <w:t xml:space="preserve">for </w:t>
      </w:r>
      <w:r w:rsidR="001B0FD3">
        <w:rPr>
          <w:rFonts w:ascii="Calibri" w:eastAsia="Calibri" w:hAnsi="Calibri" w:cs="Arial"/>
          <w:sz w:val="22"/>
          <w:szCs w:val="22"/>
        </w:rPr>
        <w:t>permanent</w:t>
      </w:r>
      <w:r w:rsidR="0083115C">
        <w:rPr>
          <w:rFonts w:ascii="Calibri" w:eastAsia="Calibri" w:hAnsi="Calibri" w:cs="Arial"/>
          <w:sz w:val="22"/>
          <w:szCs w:val="22"/>
        </w:rPr>
        <w:t xml:space="preserve"> flexibilities </w:t>
      </w:r>
      <w:r w:rsidR="004A0450">
        <w:rPr>
          <w:rFonts w:ascii="Calibri" w:eastAsia="Calibri" w:hAnsi="Calibri" w:cs="Arial"/>
          <w:sz w:val="22"/>
          <w:szCs w:val="22"/>
        </w:rPr>
        <w:t xml:space="preserve">from stakeholders, </w:t>
      </w:r>
      <w:r w:rsidR="00127555">
        <w:rPr>
          <w:rFonts w:ascii="Calibri" w:eastAsia="Calibri" w:hAnsi="Calibri" w:cs="Arial"/>
          <w:sz w:val="22"/>
          <w:szCs w:val="22"/>
        </w:rPr>
        <w:t>the scientific community, and other federal agencies</w:t>
      </w:r>
      <w:r w:rsidR="00A3541E">
        <w:rPr>
          <w:rFonts w:ascii="Calibri" w:eastAsia="Calibri" w:hAnsi="Calibri" w:cs="Arial"/>
          <w:sz w:val="22"/>
          <w:szCs w:val="22"/>
        </w:rPr>
        <w:t xml:space="preserve">. For example, </w:t>
      </w:r>
      <w:r w:rsidR="00913F4C">
        <w:rPr>
          <w:rFonts w:ascii="Calibri" w:eastAsia="Calibri" w:hAnsi="Calibri" w:cs="Arial"/>
          <w:sz w:val="22"/>
          <w:szCs w:val="22"/>
        </w:rPr>
        <w:t xml:space="preserve">the Proposed Rule </w:t>
      </w:r>
      <w:r w:rsidR="00C2555F" w:rsidRPr="00254B42">
        <w:rPr>
          <w:rFonts w:ascii="Calibri" w:eastAsia="Calibri" w:hAnsi="Calibri" w:cs="Arial"/>
          <w:sz w:val="22"/>
          <w:szCs w:val="22"/>
        </w:rPr>
        <w:t xml:space="preserve">seems to </w:t>
      </w:r>
      <w:r w:rsidR="00913F4C">
        <w:rPr>
          <w:rFonts w:ascii="Calibri" w:eastAsia="Calibri" w:hAnsi="Calibri" w:cs="Arial"/>
          <w:sz w:val="22"/>
          <w:szCs w:val="22"/>
        </w:rPr>
        <w:t>indicate</w:t>
      </w:r>
      <w:r w:rsidR="00913F4C" w:rsidRPr="00254B42">
        <w:rPr>
          <w:rFonts w:ascii="Calibri" w:eastAsia="Calibri" w:hAnsi="Calibri" w:cs="Arial"/>
          <w:sz w:val="22"/>
          <w:szCs w:val="22"/>
        </w:rPr>
        <w:t xml:space="preserve"> </w:t>
      </w:r>
      <w:r w:rsidR="00C2555F" w:rsidRPr="00254B42">
        <w:rPr>
          <w:rFonts w:ascii="Calibri" w:eastAsia="Calibri" w:hAnsi="Calibri" w:cs="Arial"/>
          <w:sz w:val="22"/>
          <w:szCs w:val="22"/>
        </w:rPr>
        <w:t>that “until recently, there was a nationwide shortage of practitioners authorized to dispense buprenorphine.”</w:t>
      </w:r>
      <w:r w:rsidR="00E46046">
        <w:rPr>
          <w:rStyle w:val="EndnoteReference"/>
          <w:rFonts w:ascii="Calibri" w:eastAsia="Calibri" w:hAnsi="Calibri" w:cs="Arial"/>
          <w:sz w:val="22"/>
          <w:szCs w:val="22"/>
        </w:rPr>
        <w:endnoteReference w:id="14"/>
      </w:r>
      <w:r w:rsidR="00C2555F" w:rsidRPr="00254B42">
        <w:rPr>
          <w:rFonts w:ascii="Calibri" w:eastAsia="Calibri" w:hAnsi="Calibri" w:cs="Arial"/>
          <w:sz w:val="22"/>
          <w:szCs w:val="22"/>
        </w:rPr>
        <w:t xml:space="preserve"> Although </w:t>
      </w:r>
      <w:r w:rsidR="00913F4C">
        <w:rPr>
          <w:rFonts w:ascii="Calibri" w:eastAsia="Calibri" w:hAnsi="Calibri" w:cs="Arial"/>
          <w:sz w:val="22"/>
          <w:szCs w:val="22"/>
        </w:rPr>
        <w:t>the Proposed Rule</w:t>
      </w:r>
      <w:r w:rsidR="00913F4C" w:rsidRPr="00254B42">
        <w:rPr>
          <w:rFonts w:ascii="Calibri" w:eastAsia="Calibri" w:hAnsi="Calibri" w:cs="Arial"/>
          <w:sz w:val="22"/>
          <w:szCs w:val="22"/>
        </w:rPr>
        <w:t xml:space="preserve"> </w:t>
      </w:r>
      <w:r w:rsidR="00C2555F" w:rsidRPr="00254B42">
        <w:rPr>
          <w:rFonts w:ascii="Calibri" w:eastAsia="Calibri" w:hAnsi="Calibri" w:cs="Arial"/>
          <w:sz w:val="22"/>
          <w:szCs w:val="22"/>
        </w:rPr>
        <w:t xml:space="preserve">is correct that the </w:t>
      </w:r>
      <w:r w:rsidR="00223F13">
        <w:rPr>
          <w:rFonts w:ascii="Calibri" w:eastAsia="Calibri" w:hAnsi="Calibri" w:cs="Arial"/>
          <w:sz w:val="22"/>
          <w:szCs w:val="22"/>
        </w:rPr>
        <w:t>x-</w:t>
      </w:r>
      <w:r w:rsidR="00C2555F" w:rsidRPr="00254B42">
        <w:rPr>
          <w:rFonts w:ascii="Calibri" w:eastAsia="Calibri" w:hAnsi="Calibri" w:cs="Arial"/>
          <w:sz w:val="22"/>
          <w:szCs w:val="22"/>
        </w:rPr>
        <w:t>waiver is no longer required, there is limited evidence</w:t>
      </w:r>
      <w:r w:rsidR="00561BD0">
        <w:rPr>
          <w:rFonts w:ascii="Calibri" w:eastAsia="Calibri" w:hAnsi="Calibri" w:cs="Arial"/>
          <w:sz w:val="22"/>
          <w:szCs w:val="22"/>
        </w:rPr>
        <w:t xml:space="preserve"> suggesting that this change alone w</w:t>
      </w:r>
      <w:r w:rsidR="00C2555F" w:rsidRPr="00254B42">
        <w:rPr>
          <w:rFonts w:ascii="Calibri" w:eastAsia="Calibri" w:hAnsi="Calibri" w:cs="Arial"/>
          <w:sz w:val="22"/>
          <w:szCs w:val="22"/>
        </w:rPr>
        <w:t>ill lead to an influx of providers prescribing buprenorphine. For example, a study of 56,000 x-waivered physicians in 2020 found that just under 51% wrote at least one prescription for buprenorphine in the 22-month period studied.</w:t>
      </w:r>
      <w:r w:rsidR="00342E74">
        <w:rPr>
          <w:rStyle w:val="EndnoteReference"/>
          <w:rFonts w:ascii="Calibri" w:eastAsia="Calibri" w:hAnsi="Calibri" w:cs="Arial"/>
          <w:sz w:val="22"/>
          <w:szCs w:val="22"/>
        </w:rPr>
        <w:endnoteReference w:id="15"/>
      </w:r>
      <w:r w:rsidR="00C2555F" w:rsidRPr="00254B42">
        <w:rPr>
          <w:rFonts w:ascii="Calibri" w:eastAsia="Calibri" w:hAnsi="Calibri" w:cs="Arial"/>
          <w:sz w:val="22"/>
          <w:szCs w:val="22"/>
        </w:rPr>
        <w:t xml:space="preserve"> Moreover, studies </w:t>
      </w:r>
      <w:r w:rsidR="00A7442A">
        <w:rPr>
          <w:rFonts w:ascii="Calibri" w:eastAsia="Calibri" w:hAnsi="Calibri" w:cs="Arial"/>
          <w:sz w:val="22"/>
          <w:szCs w:val="22"/>
        </w:rPr>
        <w:t xml:space="preserve">of primary care practitioners </w:t>
      </w:r>
      <w:r w:rsidR="00C2555F" w:rsidRPr="00254B42">
        <w:rPr>
          <w:rFonts w:ascii="Calibri" w:eastAsia="Calibri" w:hAnsi="Calibri" w:cs="Arial"/>
          <w:sz w:val="22"/>
          <w:szCs w:val="22"/>
        </w:rPr>
        <w:t>have indicated that practitioners often have negative attitudes toward buprenorphine</w:t>
      </w:r>
      <w:r w:rsidR="2FC451C0" w:rsidRPr="00254B42">
        <w:rPr>
          <w:rFonts w:ascii="Calibri" w:eastAsia="Calibri" w:hAnsi="Calibri" w:cs="Arial"/>
          <w:sz w:val="22"/>
          <w:szCs w:val="22"/>
        </w:rPr>
        <w:t>,</w:t>
      </w:r>
      <w:r w:rsidR="00C2555F" w:rsidRPr="00254B42">
        <w:rPr>
          <w:rFonts w:ascii="Calibri" w:eastAsia="Calibri" w:hAnsi="Calibri" w:cs="Arial"/>
          <w:sz w:val="22"/>
          <w:szCs w:val="22"/>
        </w:rPr>
        <w:t xml:space="preserve"> including skepticism about the medication, the behaviors of patients with OUD, and beliefs regarding substance use disorders more generally.</w:t>
      </w:r>
      <w:r w:rsidR="00E156FF">
        <w:rPr>
          <w:rStyle w:val="EndnoteReference"/>
          <w:rFonts w:ascii="Calibri" w:eastAsia="Calibri" w:hAnsi="Calibri" w:cs="Arial"/>
          <w:sz w:val="22"/>
          <w:szCs w:val="22"/>
        </w:rPr>
        <w:endnoteReference w:id="16"/>
      </w:r>
      <w:r w:rsidR="00BF4133">
        <w:rPr>
          <w:rFonts w:ascii="Calibri" w:eastAsia="Calibri" w:hAnsi="Calibri" w:cs="Arial"/>
          <w:sz w:val="22"/>
          <w:szCs w:val="22"/>
        </w:rPr>
        <w:t xml:space="preserve"> </w:t>
      </w:r>
      <w:r w:rsidR="00617669">
        <w:rPr>
          <w:rFonts w:ascii="Calibri" w:eastAsia="Calibri" w:hAnsi="Calibri" w:cs="Arial"/>
          <w:sz w:val="22"/>
          <w:szCs w:val="22"/>
        </w:rPr>
        <w:t xml:space="preserve"> </w:t>
      </w:r>
      <w:r w:rsidR="00F83394">
        <w:rPr>
          <w:rFonts w:ascii="Calibri" w:eastAsia="Calibri" w:hAnsi="Calibri" w:cs="Arial"/>
          <w:sz w:val="22"/>
          <w:szCs w:val="22"/>
        </w:rPr>
        <w:t xml:space="preserve">Therefore, without a substantial increase in practitioners willing </w:t>
      </w:r>
      <w:r w:rsidR="3DFA404B" w:rsidRPr="7AC0CFB6">
        <w:rPr>
          <w:rFonts w:ascii="Calibri" w:eastAsia="Calibri" w:hAnsi="Calibri" w:cs="Arial"/>
          <w:sz w:val="22"/>
          <w:szCs w:val="22"/>
        </w:rPr>
        <w:t xml:space="preserve">and able </w:t>
      </w:r>
      <w:r w:rsidR="00F83394">
        <w:rPr>
          <w:rFonts w:ascii="Calibri" w:eastAsia="Calibri" w:hAnsi="Calibri" w:cs="Arial"/>
          <w:sz w:val="22"/>
          <w:szCs w:val="22"/>
        </w:rPr>
        <w:t xml:space="preserve">to prescribe buprenorphine, the 30-day limitation on prescriptions will </w:t>
      </w:r>
      <w:r w:rsidR="00F46F88">
        <w:rPr>
          <w:rFonts w:ascii="Calibri" w:eastAsia="Calibri" w:hAnsi="Calibri" w:cs="Arial"/>
          <w:sz w:val="22"/>
          <w:szCs w:val="22"/>
        </w:rPr>
        <w:t xml:space="preserve">further </w:t>
      </w:r>
      <w:r w:rsidR="00815462">
        <w:rPr>
          <w:rFonts w:ascii="Calibri" w:eastAsia="Calibri" w:hAnsi="Calibri" w:cs="Arial"/>
          <w:sz w:val="22"/>
          <w:szCs w:val="22"/>
        </w:rPr>
        <w:t>restrict</w:t>
      </w:r>
      <w:r w:rsidR="00F46F88">
        <w:rPr>
          <w:rFonts w:ascii="Calibri" w:eastAsia="Calibri" w:hAnsi="Calibri" w:cs="Arial"/>
          <w:sz w:val="22"/>
          <w:szCs w:val="22"/>
        </w:rPr>
        <w:t xml:space="preserve"> access to care for individuals with OUD. </w:t>
      </w:r>
    </w:p>
    <w:p w14:paraId="3746E5B1" w14:textId="6C636D61" w:rsidR="00C2555F" w:rsidRDefault="00C2555F" w:rsidP="0056358A">
      <w:pPr>
        <w:pStyle w:val="paragraph"/>
        <w:spacing w:before="0" w:beforeAutospacing="0" w:after="0" w:afterAutospacing="0"/>
        <w:textAlignment w:val="baseline"/>
        <w:rPr>
          <w:rFonts w:ascii="Calibri" w:eastAsia="Calibri" w:hAnsi="Calibri" w:cs="Arial"/>
          <w:sz w:val="22"/>
          <w:szCs w:val="22"/>
        </w:rPr>
      </w:pPr>
    </w:p>
    <w:p w14:paraId="1493370E" w14:textId="431A10B9" w:rsidR="00421010" w:rsidRDefault="00764296" w:rsidP="0056358A">
      <w:pPr>
        <w:pStyle w:val="paragraph"/>
        <w:spacing w:before="0" w:beforeAutospacing="0" w:after="0" w:afterAutospacing="0"/>
        <w:textAlignment w:val="baseline"/>
        <w:rPr>
          <w:rFonts w:ascii="Calibri" w:eastAsia="Calibri" w:hAnsi="Calibri" w:cs="Arial"/>
          <w:sz w:val="22"/>
          <w:szCs w:val="22"/>
        </w:rPr>
      </w:pPr>
      <w:r>
        <w:rPr>
          <w:rFonts w:ascii="Calibri" w:eastAsia="Calibri" w:hAnsi="Calibri" w:cs="Arial"/>
          <w:sz w:val="22"/>
          <w:szCs w:val="22"/>
        </w:rPr>
        <w:t xml:space="preserve">The Proposed Rule </w:t>
      </w:r>
      <w:r w:rsidR="00460447">
        <w:rPr>
          <w:rFonts w:ascii="Calibri" w:eastAsia="Calibri" w:hAnsi="Calibri" w:cs="Arial"/>
          <w:sz w:val="22"/>
          <w:szCs w:val="22"/>
        </w:rPr>
        <w:t xml:space="preserve">also acknowledges that </w:t>
      </w:r>
      <w:r w:rsidR="000C0D56">
        <w:rPr>
          <w:rFonts w:ascii="Calibri" w:eastAsia="Calibri" w:hAnsi="Calibri" w:cs="Arial"/>
          <w:sz w:val="22"/>
          <w:szCs w:val="22"/>
        </w:rPr>
        <w:t>rural counties are associated with low buprenorphine dispensing</w:t>
      </w:r>
      <w:r w:rsidR="00850EB3">
        <w:rPr>
          <w:rFonts w:ascii="Calibri" w:eastAsia="Calibri" w:hAnsi="Calibri" w:cs="Arial"/>
          <w:sz w:val="22"/>
          <w:szCs w:val="22"/>
        </w:rPr>
        <w:t xml:space="preserve"> and indicates that the Proposed Rule </w:t>
      </w:r>
      <w:r w:rsidR="00460447">
        <w:rPr>
          <w:rFonts w:ascii="Calibri" w:eastAsia="Calibri" w:hAnsi="Calibri" w:cs="Arial"/>
          <w:sz w:val="22"/>
          <w:szCs w:val="22"/>
        </w:rPr>
        <w:t xml:space="preserve">will </w:t>
      </w:r>
      <w:r w:rsidR="00FB2C1D">
        <w:rPr>
          <w:rFonts w:ascii="Calibri" w:eastAsia="Calibri" w:hAnsi="Calibri" w:cs="Arial"/>
          <w:sz w:val="22"/>
          <w:szCs w:val="22"/>
        </w:rPr>
        <w:t>increase access in these areas.</w:t>
      </w:r>
      <w:r w:rsidR="00DC1733">
        <w:rPr>
          <w:rStyle w:val="EndnoteReference"/>
          <w:rFonts w:ascii="Calibri" w:eastAsia="Calibri" w:hAnsi="Calibri" w:cs="Arial"/>
          <w:sz w:val="22"/>
          <w:szCs w:val="22"/>
        </w:rPr>
        <w:endnoteReference w:id="17"/>
      </w:r>
      <w:r w:rsidR="00FB2C1D">
        <w:rPr>
          <w:rFonts w:ascii="Calibri" w:eastAsia="Calibri" w:hAnsi="Calibri" w:cs="Arial"/>
          <w:sz w:val="22"/>
          <w:szCs w:val="22"/>
        </w:rPr>
        <w:t xml:space="preserve"> </w:t>
      </w:r>
      <w:r w:rsidR="005C3680">
        <w:rPr>
          <w:rFonts w:ascii="Calibri" w:eastAsia="Calibri" w:hAnsi="Calibri" w:cs="Arial"/>
          <w:sz w:val="22"/>
          <w:szCs w:val="22"/>
        </w:rPr>
        <w:t xml:space="preserve">However, </w:t>
      </w:r>
      <w:r w:rsidR="00E81FE9">
        <w:rPr>
          <w:rFonts w:ascii="Calibri" w:eastAsia="Calibri" w:hAnsi="Calibri" w:cs="Arial"/>
          <w:sz w:val="22"/>
          <w:szCs w:val="22"/>
        </w:rPr>
        <w:t xml:space="preserve">as of 2019, </w:t>
      </w:r>
      <w:r w:rsidR="005C3680">
        <w:rPr>
          <w:rFonts w:ascii="Calibri" w:eastAsia="Calibri" w:hAnsi="Calibri" w:cs="Arial"/>
          <w:sz w:val="22"/>
          <w:szCs w:val="22"/>
        </w:rPr>
        <w:t>50% of rural U</w:t>
      </w:r>
      <w:r w:rsidR="00E81FE9">
        <w:rPr>
          <w:rFonts w:ascii="Calibri" w:eastAsia="Calibri" w:hAnsi="Calibri" w:cs="Arial"/>
          <w:sz w:val="22"/>
          <w:szCs w:val="22"/>
        </w:rPr>
        <w:t>.</w:t>
      </w:r>
      <w:r w:rsidR="005C3680">
        <w:rPr>
          <w:rFonts w:ascii="Calibri" w:eastAsia="Calibri" w:hAnsi="Calibri" w:cs="Arial"/>
          <w:sz w:val="22"/>
          <w:szCs w:val="22"/>
        </w:rPr>
        <w:t>S</w:t>
      </w:r>
      <w:r w:rsidR="00E81FE9">
        <w:rPr>
          <w:rFonts w:ascii="Calibri" w:eastAsia="Calibri" w:hAnsi="Calibri" w:cs="Arial"/>
          <w:sz w:val="22"/>
          <w:szCs w:val="22"/>
        </w:rPr>
        <w:t>.</w:t>
      </w:r>
      <w:r w:rsidR="005C3680">
        <w:rPr>
          <w:rFonts w:ascii="Calibri" w:eastAsia="Calibri" w:hAnsi="Calibri" w:cs="Arial"/>
          <w:sz w:val="22"/>
          <w:szCs w:val="22"/>
        </w:rPr>
        <w:t xml:space="preserve"> counties were without a single buprenorphine-waivered practitioner</w:t>
      </w:r>
      <w:r w:rsidR="00E81FE9">
        <w:rPr>
          <w:rFonts w:ascii="Calibri" w:eastAsia="Calibri" w:hAnsi="Calibri" w:cs="Arial"/>
          <w:sz w:val="22"/>
          <w:szCs w:val="22"/>
        </w:rPr>
        <w:t>.</w:t>
      </w:r>
      <w:r w:rsidR="000646E1">
        <w:rPr>
          <w:rStyle w:val="EndnoteReference"/>
          <w:rFonts w:ascii="Calibri" w:eastAsia="Calibri" w:hAnsi="Calibri" w:cs="Arial"/>
          <w:sz w:val="22"/>
          <w:szCs w:val="22"/>
        </w:rPr>
        <w:endnoteReference w:id="18"/>
      </w:r>
      <w:r w:rsidR="00E81FE9">
        <w:rPr>
          <w:rFonts w:ascii="Calibri" w:eastAsia="Calibri" w:hAnsi="Calibri" w:cs="Arial"/>
          <w:sz w:val="22"/>
          <w:szCs w:val="22"/>
        </w:rPr>
        <w:t xml:space="preserve"> </w:t>
      </w:r>
      <w:r w:rsidR="00BD5380">
        <w:rPr>
          <w:rFonts w:ascii="Calibri" w:eastAsia="Calibri" w:hAnsi="Calibri" w:cs="Arial"/>
          <w:sz w:val="22"/>
          <w:szCs w:val="22"/>
        </w:rPr>
        <w:t xml:space="preserve">Therefore, patients in rural areas </w:t>
      </w:r>
      <w:r w:rsidR="006F1FA9">
        <w:rPr>
          <w:rFonts w:ascii="Calibri" w:eastAsia="Calibri" w:hAnsi="Calibri" w:cs="Arial"/>
          <w:sz w:val="22"/>
          <w:szCs w:val="22"/>
        </w:rPr>
        <w:t xml:space="preserve">may </w:t>
      </w:r>
      <w:r w:rsidR="00BD5380">
        <w:rPr>
          <w:rFonts w:ascii="Calibri" w:eastAsia="Calibri" w:hAnsi="Calibri" w:cs="Arial"/>
          <w:sz w:val="22"/>
          <w:szCs w:val="22"/>
        </w:rPr>
        <w:t xml:space="preserve">gain initial access to buprenorphine </w:t>
      </w:r>
      <w:r w:rsidR="006E0EA3">
        <w:rPr>
          <w:rFonts w:ascii="Calibri" w:eastAsia="Calibri" w:hAnsi="Calibri" w:cs="Arial"/>
          <w:sz w:val="22"/>
          <w:szCs w:val="22"/>
        </w:rPr>
        <w:t xml:space="preserve">through telemedicine but </w:t>
      </w:r>
      <w:r w:rsidR="00D946B9">
        <w:rPr>
          <w:rFonts w:ascii="Calibri" w:eastAsia="Calibri" w:hAnsi="Calibri" w:cs="Arial"/>
          <w:sz w:val="22"/>
          <w:szCs w:val="22"/>
        </w:rPr>
        <w:t xml:space="preserve">will </w:t>
      </w:r>
      <w:r w:rsidR="0049010A">
        <w:rPr>
          <w:rFonts w:ascii="Calibri" w:eastAsia="Calibri" w:hAnsi="Calibri" w:cs="Arial"/>
          <w:sz w:val="22"/>
          <w:szCs w:val="22"/>
        </w:rPr>
        <w:t>still</w:t>
      </w:r>
      <w:r w:rsidR="006F1FA9">
        <w:rPr>
          <w:rFonts w:ascii="Calibri" w:eastAsia="Calibri" w:hAnsi="Calibri" w:cs="Arial"/>
          <w:sz w:val="22"/>
          <w:szCs w:val="22"/>
        </w:rPr>
        <w:t xml:space="preserve"> </w:t>
      </w:r>
      <w:r w:rsidR="00D946B9">
        <w:rPr>
          <w:rFonts w:ascii="Calibri" w:eastAsia="Calibri" w:hAnsi="Calibri" w:cs="Arial"/>
          <w:sz w:val="22"/>
          <w:szCs w:val="22"/>
        </w:rPr>
        <w:t>be required to find an in-person provider within 30 days</w:t>
      </w:r>
      <w:r w:rsidR="007D35AD">
        <w:rPr>
          <w:rFonts w:ascii="Calibri" w:eastAsia="Calibri" w:hAnsi="Calibri" w:cs="Arial"/>
          <w:sz w:val="22"/>
          <w:szCs w:val="22"/>
        </w:rPr>
        <w:t xml:space="preserve"> </w:t>
      </w:r>
      <w:r w:rsidR="000A092C">
        <w:rPr>
          <w:rFonts w:ascii="Calibri" w:eastAsia="Calibri" w:hAnsi="Calibri" w:cs="Arial"/>
          <w:sz w:val="22"/>
          <w:szCs w:val="22"/>
        </w:rPr>
        <w:t xml:space="preserve">while the country </w:t>
      </w:r>
      <w:r w:rsidR="0049010A">
        <w:rPr>
          <w:rFonts w:ascii="Calibri" w:eastAsia="Calibri" w:hAnsi="Calibri" w:cs="Arial"/>
          <w:sz w:val="22"/>
          <w:szCs w:val="22"/>
        </w:rPr>
        <w:t>continues to grapple with</w:t>
      </w:r>
      <w:r w:rsidR="00971787">
        <w:rPr>
          <w:rFonts w:ascii="Calibri" w:eastAsia="Calibri" w:hAnsi="Calibri" w:cs="Arial"/>
          <w:sz w:val="22"/>
          <w:szCs w:val="22"/>
        </w:rPr>
        <w:t xml:space="preserve"> </w:t>
      </w:r>
      <w:r w:rsidR="00971787">
        <w:rPr>
          <w:rFonts w:ascii="Calibri" w:eastAsia="Calibri" w:hAnsi="Calibri" w:cs="Arial"/>
          <w:sz w:val="22"/>
          <w:szCs w:val="22"/>
        </w:rPr>
        <w:lastRenderedPageBreak/>
        <w:t>not only a rural shortage of providers</w:t>
      </w:r>
      <w:r w:rsidR="00B20658">
        <w:rPr>
          <w:rFonts w:ascii="Calibri" w:eastAsia="Calibri" w:hAnsi="Calibri" w:cs="Arial"/>
          <w:sz w:val="22"/>
          <w:szCs w:val="22"/>
        </w:rPr>
        <w:t>,</w:t>
      </w:r>
      <w:r w:rsidR="00971787">
        <w:rPr>
          <w:rFonts w:ascii="Calibri" w:eastAsia="Calibri" w:hAnsi="Calibri" w:cs="Arial"/>
          <w:sz w:val="22"/>
          <w:szCs w:val="22"/>
        </w:rPr>
        <w:t xml:space="preserve"> but</w:t>
      </w:r>
      <w:r w:rsidR="00D946B9">
        <w:rPr>
          <w:rFonts w:ascii="Calibri" w:eastAsia="Calibri" w:hAnsi="Calibri" w:cs="Arial"/>
          <w:sz w:val="22"/>
          <w:szCs w:val="22"/>
        </w:rPr>
        <w:t xml:space="preserve"> a national workforce shortage</w:t>
      </w:r>
      <w:r w:rsidR="00971787">
        <w:rPr>
          <w:rFonts w:ascii="Calibri" w:eastAsia="Calibri" w:hAnsi="Calibri" w:cs="Arial"/>
          <w:sz w:val="22"/>
          <w:szCs w:val="22"/>
        </w:rPr>
        <w:t xml:space="preserve"> as well</w:t>
      </w:r>
      <w:r w:rsidR="00D946B9">
        <w:rPr>
          <w:rFonts w:ascii="Calibri" w:eastAsia="Calibri" w:hAnsi="Calibri" w:cs="Arial"/>
          <w:sz w:val="22"/>
          <w:szCs w:val="22"/>
        </w:rPr>
        <w:t>.</w:t>
      </w:r>
      <w:r w:rsidR="00AF5EFF">
        <w:rPr>
          <w:rFonts w:ascii="Calibri" w:eastAsia="Calibri" w:hAnsi="Calibri" w:cs="Arial"/>
          <w:sz w:val="22"/>
          <w:szCs w:val="22"/>
        </w:rPr>
        <w:t xml:space="preserve"> </w:t>
      </w:r>
      <w:r>
        <w:rPr>
          <w:rFonts w:ascii="Calibri" w:eastAsia="Calibri" w:hAnsi="Calibri" w:cs="Arial"/>
          <w:sz w:val="22"/>
          <w:szCs w:val="22"/>
        </w:rPr>
        <w:t xml:space="preserve">The Proposed </w:t>
      </w:r>
      <w:r w:rsidR="00E747B8">
        <w:rPr>
          <w:rFonts w:ascii="Calibri" w:eastAsia="Calibri" w:hAnsi="Calibri" w:cs="Arial"/>
          <w:sz w:val="22"/>
          <w:szCs w:val="22"/>
        </w:rPr>
        <w:t>R</w:t>
      </w:r>
      <w:r>
        <w:rPr>
          <w:rFonts w:ascii="Calibri" w:eastAsia="Calibri" w:hAnsi="Calibri" w:cs="Arial"/>
          <w:sz w:val="22"/>
          <w:szCs w:val="22"/>
        </w:rPr>
        <w:t xml:space="preserve">ule </w:t>
      </w:r>
      <w:r w:rsidR="00734AAD">
        <w:rPr>
          <w:rFonts w:ascii="Calibri" w:eastAsia="Calibri" w:hAnsi="Calibri" w:cs="Arial"/>
          <w:sz w:val="22"/>
          <w:szCs w:val="22"/>
        </w:rPr>
        <w:t xml:space="preserve">attempts to </w:t>
      </w:r>
      <w:r w:rsidR="00AF4346">
        <w:rPr>
          <w:rFonts w:ascii="Calibri" w:eastAsia="Calibri" w:hAnsi="Calibri" w:cs="Arial"/>
          <w:sz w:val="22"/>
          <w:szCs w:val="22"/>
        </w:rPr>
        <w:t xml:space="preserve">provide </w:t>
      </w:r>
      <w:r w:rsidR="00734AAD">
        <w:rPr>
          <w:rFonts w:ascii="Calibri" w:eastAsia="Calibri" w:hAnsi="Calibri" w:cs="Arial"/>
          <w:sz w:val="22"/>
          <w:szCs w:val="22"/>
        </w:rPr>
        <w:t xml:space="preserve">a solution </w:t>
      </w:r>
      <w:r w:rsidR="003B3F94">
        <w:rPr>
          <w:rFonts w:ascii="Calibri" w:eastAsia="Calibri" w:hAnsi="Calibri" w:cs="Arial"/>
          <w:sz w:val="22"/>
          <w:szCs w:val="22"/>
        </w:rPr>
        <w:t>with the implementation of a</w:t>
      </w:r>
      <w:r w:rsidR="00AF4346">
        <w:rPr>
          <w:rFonts w:ascii="Calibri" w:eastAsia="Calibri" w:hAnsi="Calibri" w:cs="Arial"/>
          <w:sz w:val="22"/>
          <w:szCs w:val="22"/>
        </w:rPr>
        <w:t xml:space="preserve"> qualifying telemedicine referral or </w:t>
      </w:r>
      <w:r w:rsidR="00DF0550">
        <w:rPr>
          <w:rFonts w:ascii="Calibri" w:eastAsia="Calibri" w:hAnsi="Calibri" w:cs="Arial"/>
          <w:sz w:val="22"/>
          <w:szCs w:val="22"/>
        </w:rPr>
        <w:t xml:space="preserve">a practitioner physically present with the patient while conducting a telemedicine evaluation with a prescribing practitioner. However, </w:t>
      </w:r>
      <w:r w:rsidR="003A39F4">
        <w:rPr>
          <w:rFonts w:ascii="Calibri" w:eastAsia="Calibri" w:hAnsi="Calibri" w:cs="Arial"/>
          <w:sz w:val="22"/>
          <w:szCs w:val="22"/>
        </w:rPr>
        <w:t xml:space="preserve">this requires </w:t>
      </w:r>
      <w:r w:rsidR="00984AC6">
        <w:rPr>
          <w:rFonts w:ascii="Calibri" w:eastAsia="Calibri" w:hAnsi="Calibri" w:cs="Arial"/>
          <w:sz w:val="22"/>
          <w:szCs w:val="22"/>
        </w:rPr>
        <w:t>buy-in</w:t>
      </w:r>
      <w:r w:rsidR="003A39F4">
        <w:rPr>
          <w:rFonts w:ascii="Calibri" w:eastAsia="Calibri" w:hAnsi="Calibri" w:cs="Arial"/>
          <w:sz w:val="22"/>
          <w:szCs w:val="22"/>
        </w:rPr>
        <w:t xml:space="preserve"> from practitioner</w:t>
      </w:r>
      <w:r w:rsidR="00984AC6">
        <w:rPr>
          <w:rFonts w:ascii="Calibri" w:eastAsia="Calibri" w:hAnsi="Calibri" w:cs="Arial"/>
          <w:sz w:val="22"/>
          <w:szCs w:val="22"/>
        </w:rPr>
        <w:t>s</w:t>
      </w:r>
      <w:r w:rsidR="003A39F4">
        <w:rPr>
          <w:rFonts w:ascii="Calibri" w:eastAsia="Calibri" w:hAnsi="Calibri" w:cs="Arial"/>
          <w:sz w:val="22"/>
          <w:szCs w:val="22"/>
        </w:rPr>
        <w:t xml:space="preserve"> who </w:t>
      </w:r>
      <w:r w:rsidR="00984AC6">
        <w:rPr>
          <w:rFonts w:ascii="Calibri" w:eastAsia="Calibri" w:hAnsi="Calibri" w:cs="Arial"/>
          <w:sz w:val="22"/>
          <w:szCs w:val="22"/>
        </w:rPr>
        <w:t xml:space="preserve">may </w:t>
      </w:r>
      <w:r w:rsidR="52E3052E">
        <w:rPr>
          <w:rFonts w:ascii="Calibri" w:eastAsia="Calibri" w:hAnsi="Calibri" w:cs="Arial"/>
          <w:sz w:val="22"/>
          <w:szCs w:val="22"/>
        </w:rPr>
        <w:t>be</w:t>
      </w:r>
      <w:r w:rsidR="00626FAD">
        <w:rPr>
          <w:rFonts w:ascii="Calibri" w:eastAsia="Calibri" w:hAnsi="Calibri" w:cs="Arial"/>
          <w:sz w:val="22"/>
          <w:szCs w:val="22"/>
        </w:rPr>
        <w:t xml:space="preserve"> </w:t>
      </w:r>
      <w:r w:rsidR="5F685F93">
        <w:rPr>
          <w:rFonts w:ascii="Calibri" w:eastAsia="Calibri" w:hAnsi="Calibri" w:cs="Arial"/>
          <w:sz w:val="22"/>
          <w:szCs w:val="22"/>
        </w:rPr>
        <w:t>un</w:t>
      </w:r>
      <w:r w:rsidR="00626FAD">
        <w:rPr>
          <w:rFonts w:ascii="Calibri" w:eastAsia="Calibri" w:hAnsi="Calibri" w:cs="Arial"/>
          <w:sz w:val="22"/>
          <w:szCs w:val="22"/>
        </w:rPr>
        <w:t>familiar with</w:t>
      </w:r>
      <w:r w:rsidR="003A39F4">
        <w:rPr>
          <w:rFonts w:ascii="Calibri" w:eastAsia="Calibri" w:hAnsi="Calibri" w:cs="Arial"/>
          <w:sz w:val="22"/>
          <w:szCs w:val="22"/>
        </w:rPr>
        <w:t xml:space="preserve"> substance use disorders </w:t>
      </w:r>
      <w:r w:rsidR="003B3F94">
        <w:rPr>
          <w:rFonts w:ascii="Calibri" w:eastAsia="Calibri" w:hAnsi="Calibri" w:cs="Arial"/>
          <w:sz w:val="22"/>
          <w:szCs w:val="22"/>
        </w:rPr>
        <w:t>and</w:t>
      </w:r>
      <w:r w:rsidR="003A39F4">
        <w:rPr>
          <w:rFonts w:ascii="Calibri" w:eastAsia="Calibri" w:hAnsi="Calibri" w:cs="Arial"/>
          <w:sz w:val="22"/>
          <w:szCs w:val="22"/>
        </w:rPr>
        <w:t xml:space="preserve"> assumes</w:t>
      </w:r>
      <w:r w:rsidR="00626FAD">
        <w:rPr>
          <w:rFonts w:ascii="Calibri" w:eastAsia="Calibri" w:hAnsi="Calibri" w:cs="Arial"/>
          <w:sz w:val="22"/>
          <w:szCs w:val="22"/>
        </w:rPr>
        <w:t xml:space="preserve"> that either the patient or the provider will be </w:t>
      </w:r>
      <w:r w:rsidR="00C65BBC">
        <w:rPr>
          <w:rFonts w:ascii="Calibri" w:eastAsia="Calibri" w:hAnsi="Calibri" w:cs="Arial"/>
          <w:sz w:val="22"/>
          <w:szCs w:val="22"/>
        </w:rPr>
        <w:t>knowledgeable</w:t>
      </w:r>
      <w:r w:rsidR="00626FAD">
        <w:rPr>
          <w:rFonts w:ascii="Calibri" w:eastAsia="Calibri" w:hAnsi="Calibri" w:cs="Arial"/>
          <w:sz w:val="22"/>
          <w:szCs w:val="22"/>
        </w:rPr>
        <w:t xml:space="preserve"> </w:t>
      </w:r>
      <w:r w:rsidR="00C65BBC">
        <w:rPr>
          <w:rFonts w:ascii="Calibri" w:eastAsia="Calibri" w:hAnsi="Calibri" w:cs="Arial"/>
          <w:sz w:val="22"/>
          <w:szCs w:val="22"/>
        </w:rPr>
        <w:t>about these options</w:t>
      </w:r>
      <w:r w:rsidR="00626FAD">
        <w:rPr>
          <w:rFonts w:ascii="Calibri" w:eastAsia="Calibri" w:hAnsi="Calibri" w:cs="Arial"/>
          <w:sz w:val="22"/>
          <w:szCs w:val="22"/>
        </w:rPr>
        <w:t>.</w:t>
      </w:r>
      <w:r w:rsidR="2EAC7F6E">
        <w:rPr>
          <w:rFonts w:ascii="Calibri" w:eastAsia="Calibri" w:hAnsi="Calibri" w:cs="Arial"/>
          <w:sz w:val="22"/>
          <w:szCs w:val="22"/>
        </w:rPr>
        <w:t xml:space="preserve"> </w:t>
      </w:r>
      <w:r w:rsidR="00F26972">
        <w:rPr>
          <w:rFonts w:ascii="Calibri" w:eastAsia="Calibri" w:hAnsi="Calibri" w:cs="Arial"/>
          <w:sz w:val="22"/>
          <w:szCs w:val="22"/>
        </w:rPr>
        <w:t xml:space="preserve">As a result of the 30-day limitation on buprenorphine prescriptions, individuals in rural areas will </w:t>
      </w:r>
      <w:r w:rsidR="00693544">
        <w:rPr>
          <w:rFonts w:ascii="Calibri" w:eastAsia="Calibri" w:hAnsi="Calibri" w:cs="Arial"/>
          <w:sz w:val="22"/>
          <w:szCs w:val="22"/>
        </w:rPr>
        <w:t xml:space="preserve">have reduced access </w:t>
      </w:r>
      <w:r w:rsidR="00F25ADF">
        <w:rPr>
          <w:rFonts w:ascii="Calibri" w:eastAsia="Calibri" w:hAnsi="Calibri" w:cs="Arial"/>
          <w:sz w:val="22"/>
          <w:szCs w:val="22"/>
        </w:rPr>
        <w:t xml:space="preserve">and may face lapses in care. </w:t>
      </w:r>
    </w:p>
    <w:p w14:paraId="4D6231F6" w14:textId="77777777" w:rsidR="00D13FB3" w:rsidRDefault="00D13FB3" w:rsidP="0056358A">
      <w:pPr>
        <w:pStyle w:val="paragraph"/>
        <w:spacing w:before="0" w:beforeAutospacing="0" w:after="0" w:afterAutospacing="0"/>
        <w:textAlignment w:val="baseline"/>
        <w:rPr>
          <w:rFonts w:ascii="Calibri" w:eastAsia="Calibri" w:hAnsi="Calibri" w:cs="Arial"/>
          <w:sz w:val="22"/>
          <w:szCs w:val="22"/>
        </w:rPr>
      </w:pPr>
    </w:p>
    <w:p w14:paraId="2DF26726" w14:textId="4A533BD5" w:rsidR="00D13FB3" w:rsidRDefault="00EE5B18" w:rsidP="0056358A">
      <w:pPr>
        <w:pStyle w:val="paragraph"/>
        <w:spacing w:before="0" w:beforeAutospacing="0" w:after="0" w:afterAutospacing="0"/>
        <w:textAlignment w:val="baseline"/>
        <w:rPr>
          <w:rFonts w:ascii="Calibri" w:eastAsia="Calibri" w:hAnsi="Calibri" w:cs="Arial"/>
          <w:sz w:val="22"/>
          <w:szCs w:val="22"/>
        </w:rPr>
      </w:pPr>
      <w:r>
        <w:rPr>
          <w:rFonts w:ascii="Calibri" w:eastAsia="Calibri" w:hAnsi="Calibri" w:cs="Arial"/>
          <w:sz w:val="22"/>
          <w:szCs w:val="22"/>
        </w:rPr>
        <w:t>Finally, t</w:t>
      </w:r>
      <w:r w:rsidR="00DE7997">
        <w:rPr>
          <w:rFonts w:ascii="Calibri" w:eastAsia="Calibri" w:hAnsi="Calibri" w:cs="Arial"/>
          <w:sz w:val="22"/>
          <w:szCs w:val="22"/>
        </w:rPr>
        <w:t xml:space="preserve">he Proposed Rule </w:t>
      </w:r>
      <w:r w:rsidR="00B94A82">
        <w:rPr>
          <w:rFonts w:ascii="Calibri" w:eastAsia="Calibri" w:hAnsi="Calibri" w:cs="Arial"/>
          <w:sz w:val="22"/>
          <w:szCs w:val="22"/>
        </w:rPr>
        <w:t xml:space="preserve">expresses concern with possible diversion of buprenorphine as </w:t>
      </w:r>
      <w:r>
        <w:rPr>
          <w:rFonts w:ascii="Calibri" w:eastAsia="Calibri" w:hAnsi="Calibri" w:cs="Arial"/>
          <w:sz w:val="22"/>
          <w:szCs w:val="22"/>
        </w:rPr>
        <w:t>a</w:t>
      </w:r>
      <w:r w:rsidR="00B94A82">
        <w:rPr>
          <w:rFonts w:ascii="Calibri" w:eastAsia="Calibri" w:hAnsi="Calibri" w:cs="Arial"/>
          <w:sz w:val="22"/>
          <w:szCs w:val="22"/>
        </w:rPr>
        <w:t xml:space="preserve"> </w:t>
      </w:r>
      <w:r w:rsidR="00995950">
        <w:rPr>
          <w:rFonts w:ascii="Calibri" w:eastAsia="Calibri" w:hAnsi="Calibri" w:cs="Arial"/>
          <w:sz w:val="22"/>
          <w:szCs w:val="22"/>
        </w:rPr>
        <w:t>motiv</w:t>
      </w:r>
      <w:r w:rsidR="00281B99">
        <w:rPr>
          <w:rFonts w:ascii="Calibri" w:eastAsia="Calibri" w:hAnsi="Calibri" w:cs="Arial"/>
          <w:sz w:val="22"/>
          <w:szCs w:val="22"/>
        </w:rPr>
        <w:t>ation</w:t>
      </w:r>
      <w:r w:rsidR="00B94A82">
        <w:rPr>
          <w:rFonts w:ascii="Calibri" w:eastAsia="Calibri" w:hAnsi="Calibri" w:cs="Arial"/>
          <w:sz w:val="22"/>
          <w:szCs w:val="22"/>
        </w:rPr>
        <w:t xml:space="preserve"> for implementing additional guardrails.</w:t>
      </w:r>
      <w:r w:rsidR="00512FAA">
        <w:rPr>
          <w:rStyle w:val="EndnoteReference"/>
          <w:rFonts w:ascii="Calibri" w:eastAsia="Calibri" w:hAnsi="Calibri" w:cs="Arial"/>
          <w:sz w:val="22"/>
          <w:szCs w:val="22"/>
        </w:rPr>
        <w:endnoteReference w:id="19"/>
      </w:r>
      <w:r w:rsidR="00B94A82">
        <w:rPr>
          <w:rFonts w:ascii="Calibri" w:eastAsia="Calibri" w:hAnsi="Calibri" w:cs="Arial"/>
          <w:sz w:val="22"/>
          <w:szCs w:val="22"/>
        </w:rPr>
        <w:t xml:space="preserve"> </w:t>
      </w:r>
      <w:r w:rsidR="009A4E3D">
        <w:rPr>
          <w:rFonts w:ascii="Calibri" w:eastAsia="Calibri" w:hAnsi="Calibri" w:cs="Arial"/>
          <w:sz w:val="22"/>
          <w:szCs w:val="22"/>
        </w:rPr>
        <w:t>Notably</w:t>
      </w:r>
      <w:r w:rsidR="00A65B9A">
        <w:rPr>
          <w:rFonts w:ascii="Calibri" w:eastAsia="Calibri" w:hAnsi="Calibri" w:cs="Arial"/>
          <w:sz w:val="22"/>
          <w:szCs w:val="22"/>
        </w:rPr>
        <w:t xml:space="preserve">, the expansion of telemedicine as a result of the PHE </w:t>
      </w:r>
      <w:r w:rsidR="00B34ECF">
        <w:rPr>
          <w:rFonts w:ascii="Calibri" w:eastAsia="Calibri" w:hAnsi="Calibri" w:cs="Arial"/>
          <w:sz w:val="22"/>
          <w:szCs w:val="22"/>
        </w:rPr>
        <w:t>was not associated with an increased proportion of overdose deaths involving buprenorphine.</w:t>
      </w:r>
      <w:r w:rsidR="00ED619B">
        <w:rPr>
          <w:rStyle w:val="EndnoteReference"/>
          <w:rFonts w:ascii="Calibri" w:eastAsia="Calibri" w:hAnsi="Calibri" w:cs="Arial"/>
          <w:sz w:val="22"/>
          <w:szCs w:val="22"/>
        </w:rPr>
        <w:endnoteReference w:id="20"/>
      </w:r>
      <w:r w:rsidR="00B34ECF">
        <w:rPr>
          <w:rFonts w:ascii="Calibri" w:eastAsia="Calibri" w:hAnsi="Calibri" w:cs="Arial"/>
          <w:sz w:val="22"/>
          <w:szCs w:val="22"/>
        </w:rPr>
        <w:t xml:space="preserve"> In fact, the telemedicine flexibilities </w:t>
      </w:r>
      <w:r w:rsidR="0079347B">
        <w:rPr>
          <w:rFonts w:ascii="Calibri" w:eastAsia="Calibri" w:hAnsi="Calibri" w:cs="Arial"/>
          <w:sz w:val="22"/>
          <w:szCs w:val="22"/>
        </w:rPr>
        <w:t xml:space="preserve">were associated with </w:t>
      </w:r>
      <w:r w:rsidR="00F551B7">
        <w:rPr>
          <w:rFonts w:ascii="Calibri" w:eastAsia="Calibri" w:hAnsi="Calibri" w:cs="Arial"/>
          <w:sz w:val="22"/>
          <w:szCs w:val="22"/>
        </w:rPr>
        <w:t>improved re</w:t>
      </w:r>
      <w:r w:rsidR="0012396B">
        <w:rPr>
          <w:rFonts w:ascii="Calibri" w:eastAsia="Calibri" w:hAnsi="Calibri" w:cs="Arial"/>
          <w:sz w:val="22"/>
          <w:szCs w:val="22"/>
        </w:rPr>
        <w:t xml:space="preserve">tention in treatment </w:t>
      </w:r>
      <w:r w:rsidR="00E24616">
        <w:rPr>
          <w:rFonts w:ascii="Calibri" w:eastAsia="Calibri" w:hAnsi="Calibri" w:cs="Arial"/>
          <w:sz w:val="22"/>
          <w:szCs w:val="22"/>
        </w:rPr>
        <w:t xml:space="preserve">suggesting that </w:t>
      </w:r>
      <w:r w:rsidR="005C1C9D">
        <w:rPr>
          <w:rFonts w:ascii="Calibri" w:eastAsia="Calibri" w:hAnsi="Calibri" w:cs="Arial"/>
          <w:sz w:val="22"/>
          <w:szCs w:val="22"/>
        </w:rPr>
        <w:t>buprenorphine-specific guardrails are</w:t>
      </w:r>
      <w:r w:rsidR="00224A90">
        <w:rPr>
          <w:rFonts w:ascii="Calibri" w:eastAsia="Calibri" w:hAnsi="Calibri" w:cs="Arial"/>
          <w:sz w:val="22"/>
          <w:szCs w:val="22"/>
        </w:rPr>
        <w:t xml:space="preserve"> unnecessary and only serve to complicate a system already struggling to</w:t>
      </w:r>
      <w:r w:rsidR="004D2C24">
        <w:rPr>
          <w:rFonts w:ascii="Calibri" w:eastAsia="Calibri" w:hAnsi="Calibri" w:cs="Arial"/>
          <w:sz w:val="22"/>
          <w:szCs w:val="22"/>
        </w:rPr>
        <w:t xml:space="preserve"> meet the needs of individuals with substance use disorders.</w:t>
      </w:r>
      <w:r w:rsidR="00023867">
        <w:rPr>
          <w:rStyle w:val="EndnoteReference"/>
          <w:rFonts w:ascii="Calibri" w:eastAsia="Calibri" w:hAnsi="Calibri" w:cs="Arial"/>
          <w:sz w:val="22"/>
          <w:szCs w:val="22"/>
        </w:rPr>
        <w:endnoteReference w:id="21"/>
      </w:r>
      <w:r w:rsidR="004D2C24">
        <w:rPr>
          <w:rFonts w:ascii="Calibri" w:eastAsia="Calibri" w:hAnsi="Calibri" w:cs="Arial"/>
          <w:sz w:val="22"/>
          <w:szCs w:val="22"/>
        </w:rPr>
        <w:t xml:space="preserve"> </w:t>
      </w:r>
      <w:r w:rsidR="005C1C9D">
        <w:rPr>
          <w:rFonts w:ascii="Calibri" w:eastAsia="Calibri" w:hAnsi="Calibri" w:cs="Arial"/>
          <w:sz w:val="22"/>
          <w:szCs w:val="22"/>
        </w:rPr>
        <w:t xml:space="preserve"> </w:t>
      </w:r>
    </w:p>
    <w:p w14:paraId="30EF2AE0" w14:textId="77777777" w:rsidR="00725052" w:rsidRDefault="00725052" w:rsidP="0056358A">
      <w:pPr>
        <w:pStyle w:val="paragraph"/>
        <w:spacing w:before="0" w:beforeAutospacing="0" w:after="0" w:afterAutospacing="0"/>
        <w:textAlignment w:val="baseline"/>
        <w:rPr>
          <w:rFonts w:ascii="Calibri" w:eastAsia="Calibri" w:hAnsi="Calibri" w:cs="Arial"/>
          <w:sz w:val="22"/>
          <w:szCs w:val="22"/>
        </w:rPr>
      </w:pPr>
    </w:p>
    <w:p w14:paraId="561F69B7" w14:textId="7C390BAE" w:rsidR="000936F8" w:rsidRDefault="4B6987DB" w:rsidP="0056358A">
      <w:pPr>
        <w:pStyle w:val="paragraph"/>
        <w:spacing w:before="0" w:beforeAutospacing="0" w:after="0" w:afterAutospacing="0"/>
        <w:textAlignment w:val="baseline"/>
        <w:rPr>
          <w:rFonts w:ascii="Calibri" w:eastAsia="Calibri" w:hAnsi="Calibri" w:cs="Arial"/>
          <w:sz w:val="22"/>
          <w:szCs w:val="22"/>
        </w:rPr>
      </w:pPr>
      <w:r>
        <w:rPr>
          <w:rFonts w:ascii="Calibri" w:eastAsia="Calibri" w:hAnsi="Calibri" w:cs="Arial"/>
          <w:sz w:val="22"/>
          <w:szCs w:val="22"/>
        </w:rPr>
        <w:t>Ultimately</w:t>
      </w:r>
      <w:r w:rsidR="0056358A">
        <w:rPr>
          <w:rFonts w:ascii="Calibri" w:eastAsia="Calibri" w:hAnsi="Calibri" w:cs="Arial"/>
          <w:sz w:val="22"/>
          <w:szCs w:val="22"/>
        </w:rPr>
        <w:t>,</w:t>
      </w:r>
      <w:r w:rsidR="00A84A51">
        <w:rPr>
          <w:rFonts w:ascii="Calibri" w:eastAsia="Calibri" w:hAnsi="Calibri" w:cs="Arial"/>
          <w:sz w:val="22"/>
          <w:szCs w:val="22"/>
        </w:rPr>
        <w:t xml:space="preserve"> </w:t>
      </w:r>
      <w:r w:rsidR="0A212D87">
        <w:rPr>
          <w:rFonts w:ascii="Calibri" w:eastAsia="Calibri" w:hAnsi="Calibri" w:cs="Arial"/>
          <w:sz w:val="22"/>
          <w:szCs w:val="22"/>
        </w:rPr>
        <w:t>the Proposed Rule places</w:t>
      </w:r>
      <w:r w:rsidR="00715169">
        <w:rPr>
          <w:rFonts w:ascii="Calibri" w:eastAsia="Calibri" w:hAnsi="Calibri" w:cs="Arial"/>
          <w:sz w:val="22"/>
          <w:szCs w:val="22"/>
        </w:rPr>
        <w:t xml:space="preserve"> </w:t>
      </w:r>
      <w:r w:rsidR="00990976">
        <w:rPr>
          <w:rFonts w:ascii="Calibri" w:eastAsia="Calibri" w:hAnsi="Calibri" w:cs="Arial"/>
          <w:sz w:val="22"/>
          <w:szCs w:val="22"/>
        </w:rPr>
        <w:t xml:space="preserve">restrictions on buprenorphine similar to </w:t>
      </w:r>
      <w:r w:rsidR="69157DF0">
        <w:rPr>
          <w:rFonts w:ascii="Calibri" w:eastAsia="Calibri" w:hAnsi="Calibri" w:cs="Arial"/>
          <w:sz w:val="22"/>
          <w:szCs w:val="22"/>
        </w:rPr>
        <w:t xml:space="preserve">those placed on </w:t>
      </w:r>
      <w:r w:rsidR="00990976">
        <w:rPr>
          <w:rFonts w:ascii="Calibri" w:eastAsia="Calibri" w:hAnsi="Calibri" w:cs="Arial"/>
          <w:sz w:val="22"/>
          <w:szCs w:val="22"/>
        </w:rPr>
        <w:t xml:space="preserve">other controlled substances. </w:t>
      </w:r>
      <w:r w:rsidR="00601E63" w:rsidRPr="003157F5">
        <w:rPr>
          <w:rStyle w:val="normaltextrun"/>
          <w:rFonts w:ascii="Calibri" w:hAnsi="Calibri" w:cs="Calibri"/>
          <w:sz w:val="22"/>
          <w:szCs w:val="22"/>
          <w:highlight w:val="yellow"/>
        </w:rPr>
        <w:t>[</w:t>
      </w:r>
      <w:r w:rsidR="00601E63">
        <w:rPr>
          <w:rStyle w:val="normaltextrun"/>
          <w:rFonts w:ascii="Calibri" w:hAnsi="Calibri" w:cs="Calibri"/>
          <w:sz w:val="22"/>
          <w:szCs w:val="22"/>
          <w:highlight w:val="yellow"/>
        </w:rPr>
        <w:t>O</w:t>
      </w:r>
      <w:r w:rsidR="00601E63" w:rsidRPr="003157F5">
        <w:rPr>
          <w:rStyle w:val="normaltextrun"/>
          <w:rFonts w:ascii="Calibri" w:hAnsi="Calibri" w:cs="Calibri"/>
          <w:sz w:val="22"/>
          <w:szCs w:val="22"/>
          <w:highlight w:val="yellow"/>
        </w:rPr>
        <w:t>rganization name]</w:t>
      </w:r>
      <w:r w:rsidR="00601E63">
        <w:rPr>
          <w:rStyle w:val="normaltextrun"/>
          <w:rFonts w:ascii="Calibri" w:hAnsi="Calibri" w:cs="Calibri"/>
          <w:sz w:val="22"/>
          <w:szCs w:val="22"/>
        </w:rPr>
        <w:t xml:space="preserve"> </w:t>
      </w:r>
      <w:r w:rsidR="00A7108C">
        <w:rPr>
          <w:rFonts w:ascii="Calibri" w:eastAsia="Calibri" w:hAnsi="Calibri" w:cs="Arial"/>
          <w:sz w:val="22"/>
          <w:szCs w:val="22"/>
        </w:rPr>
        <w:t xml:space="preserve">urges DEA to consider </w:t>
      </w:r>
      <w:r w:rsidR="00F91B1F">
        <w:rPr>
          <w:rFonts w:ascii="Calibri" w:eastAsia="Calibri" w:hAnsi="Calibri" w:cs="Arial"/>
          <w:sz w:val="22"/>
          <w:szCs w:val="22"/>
        </w:rPr>
        <w:t>its</w:t>
      </w:r>
      <w:r w:rsidR="00633E00">
        <w:rPr>
          <w:rFonts w:ascii="Calibri" w:eastAsia="Calibri" w:hAnsi="Calibri" w:cs="Arial"/>
          <w:sz w:val="22"/>
          <w:szCs w:val="22"/>
        </w:rPr>
        <w:t xml:space="preserve"> own words in the Proposed Rule regarding the “unprecedented trafficking of fentanyl and drug poisoning crisis” </w:t>
      </w:r>
      <w:r w:rsidR="00582569">
        <w:rPr>
          <w:rFonts w:ascii="Calibri" w:eastAsia="Calibri" w:hAnsi="Calibri" w:cs="Arial"/>
          <w:sz w:val="22"/>
          <w:szCs w:val="22"/>
        </w:rPr>
        <w:t xml:space="preserve">and acknowledgement that opioid overdose deaths involving </w:t>
      </w:r>
      <w:r w:rsidR="005263BC">
        <w:rPr>
          <w:rFonts w:ascii="Calibri" w:eastAsia="Calibri" w:hAnsi="Calibri" w:cs="Arial"/>
          <w:sz w:val="22"/>
          <w:szCs w:val="22"/>
        </w:rPr>
        <w:t>buprenorphine</w:t>
      </w:r>
      <w:r w:rsidR="00582569">
        <w:rPr>
          <w:rFonts w:ascii="Calibri" w:eastAsia="Calibri" w:hAnsi="Calibri" w:cs="Arial"/>
          <w:sz w:val="22"/>
          <w:szCs w:val="22"/>
        </w:rPr>
        <w:t xml:space="preserve"> did not increase </w:t>
      </w:r>
      <w:r w:rsidR="00055E70">
        <w:rPr>
          <w:rFonts w:ascii="Calibri" w:eastAsia="Calibri" w:hAnsi="Calibri" w:cs="Arial"/>
          <w:sz w:val="22"/>
          <w:szCs w:val="22"/>
        </w:rPr>
        <w:t>during the COVID-19 pandemic.</w:t>
      </w:r>
      <w:r w:rsidR="00C108D3">
        <w:rPr>
          <w:rStyle w:val="EndnoteReference"/>
          <w:rFonts w:ascii="Calibri" w:eastAsia="Calibri" w:hAnsi="Calibri" w:cs="Arial"/>
          <w:sz w:val="22"/>
          <w:szCs w:val="22"/>
        </w:rPr>
        <w:endnoteReference w:id="22"/>
      </w:r>
      <w:r w:rsidR="00055E70">
        <w:rPr>
          <w:rFonts w:ascii="Calibri" w:eastAsia="Calibri" w:hAnsi="Calibri" w:cs="Arial"/>
          <w:sz w:val="22"/>
          <w:szCs w:val="22"/>
        </w:rPr>
        <w:t xml:space="preserve"> Therefore, </w:t>
      </w:r>
      <w:r w:rsidR="00601E63" w:rsidRPr="003157F5">
        <w:rPr>
          <w:rStyle w:val="normaltextrun"/>
          <w:rFonts w:ascii="Calibri" w:hAnsi="Calibri" w:cs="Calibri"/>
          <w:sz w:val="22"/>
          <w:szCs w:val="22"/>
          <w:highlight w:val="yellow"/>
        </w:rPr>
        <w:t>[</w:t>
      </w:r>
      <w:r w:rsidR="00601E63">
        <w:rPr>
          <w:rStyle w:val="normaltextrun"/>
          <w:rFonts w:ascii="Calibri" w:hAnsi="Calibri" w:cs="Calibri"/>
          <w:sz w:val="22"/>
          <w:szCs w:val="22"/>
          <w:highlight w:val="yellow"/>
        </w:rPr>
        <w:t>O</w:t>
      </w:r>
      <w:r w:rsidR="00601E63" w:rsidRPr="003157F5">
        <w:rPr>
          <w:rStyle w:val="normaltextrun"/>
          <w:rFonts w:ascii="Calibri" w:hAnsi="Calibri" w:cs="Calibri"/>
          <w:sz w:val="22"/>
          <w:szCs w:val="22"/>
          <w:highlight w:val="yellow"/>
        </w:rPr>
        <w:t>rganization name]</w:t>
      </w:r>
      <w:r w:rsidR="00601E63">
        <w:rPr>
          <w:rStyle w:val="normaltextrun"/>
          <w:rFonts w:ascii="Calibri" w:hAnsi="Calibri" w:cs="Calibri"/>
          <w:sz w:val="22"/>
          <w:szCs w:val="22"/>
        </w:rPr>
        <w:t xml:space="preserve"> </w:t>
      </w:r>
      <w:r w:rsidR="00055E70">
        <w:rPr>
          <w:rFonts w:ascii="Calibri" w:eastAsia="Calibri" w:hAnsi="Calibri" w:cs="Arial"/>
          <w:sz w:val="22"/>
          <w:szCs w:val="22"/>
        </w:rPr>
        <w:t xml:space="preserve">recommends that DEA remove the 30-day </w:t>
      </w:r>
      <w:r w:rsidR="00FD6DCC">
        <w:rPr>
          <w:rFonts w:ascii="Calibri" w:eastAsia="Calibri" w:hAnsi="Calibri" w:cs="Arial"/>
          <w:sz w:val="22"/>
          <w:szCs w:val="22"/>
        </w:rPr>
        <w:t>prescription limit</w:t>
      </w:r>
      <w:r w:rsidR="00A4707E">
        <w:rPr>
          <w:rFonts w:ascii="Calibri" w:eastAsia="Calibri" w:hAnsi="Calibri" w:cs="Arial"/>
          <w:sz w:val="22"/>
          <w:szCs w:val="22"/>
        </w:rPr>
        <w:t>ation</w:t>
      </w:r>
      <w:r w:rsidR="00FD6DCC">
        <w:rPr>
          <w:rFonts w:ascii="Calibri" w:eastAsia="Calibri" w:hAnsi="Calibri" w:cs="Arial"/>
          <w:sz w:val="22"/>
          <w:szCs w:val="22"/>
        </w:rPr>
        <w:t xml:space="preserve"> for buprenorphine and continue to allow patients to see their providers </w:t>
      </w:r>
      <w:r w:rsidR="00E96A26">
        <w:rPr>
          <w:rFonts w:ascii="Calibri" w:eastAsia="Calibri" w:hAnsi="Calibri" w:cs="Arial"/>
          <w:sz w:val="22"/>
          <w:szCs w:val="22"/>
        </w:rPr>
        <w:t>through telemedicine</w:t>
      </w:r>
      <w:r w:rsidR="00106349">
        <w:rPr>
          <w:rFonts w:ascii="Calibri" w:eastAsia="Calibri" w:hAnsi="Calibri" w:cs="Arial"/>
          <w:sz w:val="22"/>
          <w:szCs w:val="22"/>
        </w:rPr>
        <w:t xml:space="preserve"> indefinitely. </w:t>
      </w:r>
    </w:p>
    <w:p w14:paraId="19361280" w14:textId="77777777" w:rsidR="000936F8" w:rsidRDefault="000936F8" w:rsidP="0056358A">
      <w:pPr>
        <w:pStyle w:val="paragraph"/>
        <w:spacing w:before="0" w:beforeAutospacing="0" w:after="0" w:afterAutospacing="0"/>
        <w:textAlignment w:val="baseline"/>
        <w:rPr>
          <w:rFonts w:ascii="Calibri" w:eastAsia="Calibri" w:hAnsi="Calibri" w:cs="Arial"/>
          <w:sz w:val="22"/>
          <w:szCs w:val="22"/>
        </w:rPr>
      </w:pPr>
    </w:p>
    <w:p w14:paraId="6EC642C4" w14:textId="29168A66" w:rsidR="0056358A" w:rsidRDefault="00E96A26" w:rsidP="0056358A">
      <w:pPr>
        <w:pStyle w:val="paragraph"/>
        <w:spacing w:before="0" w:beforeAutospacing="0" w:after="0" w:afterAutospacing="0"/>
        <w:textAlignment w:val="baseline"/>
        <w:rPr>
          <w:rFonts w:ascii="Calibri" w:eastAsia="Calibri" w:hAnsi="Calibri" w:cs="Arial"/>
          <w:sz w:val="22"/>
          <w:szCs w:val="22"/>
        </w:rPr>
      </w:pPr>
      <w:r>
        <w:rPr>
          <w:rFonts w:ascii="Calibri" w:eastAsia="Calibri" w:hAnsi="Calibri" w:cs="Arial"/>
          <w:sz w:val="22"/>
          <w:szCs w:val="22"/>
        </w:rPr>
        <w:t xml:space="preserve">If DEA is adamantly </w:t>
      </w:r>
      <w:r w:rsidR="00106349">
        <w:rPr>
          <w:rFonts w:ascii="Calibri" w:eastAsia="Calibri" w:hAnsi="Calibri" w:cs="Arial"/>
          <w:sz w:val="22"/>
          <w:szCs w:val="22"/>
        </w:rPr>
        <w:t>opposed to</w:t>
      </w:r>
      <w:r>
        <w:rPr>
          <w:rFonts w:ascii="Calibri" w:eastAsia="Calibri" w:hAnsi="Calibri" w:cs="Arial"/>
          <w:sz w:val="22"/>
          <w:szCs w:val="22"/>
        </w:rPr>
        <w:t xml:space="preserve"> </w:t>
      </w:r>
      <w:r w:rsidR="00EB69CF">
        <w:rPr>
          <w:rFonts w:ascii="Calibri" w:eastAsia="Calibri" w:hAnsi="Calibri" w:cs="Arial"/>
          <w:sz w:val="22"/>
          <w:szCs w:val="22"/>
        </w:rPr>
        <w:t xml:space="preserve">an exemption for buprenorphine, </w:t>
      </w:r>
      <w:r w:rsidR="00320A5B" w:rsidRPr="003157F5">
        <w:rPr>
          <w:rStyle w:val="normaltextrun"/>
          <w:rFonts w:ascii="Calibri" w:hAnsi="Calibri" w:cs="Calibri"/>
          <w:sz w:val="22"/>
          <w:szCs w:val="22"/>
          <w:highlight w:val="yellow"/>
        </w:rPr>
        <w:t>[</w:t>
      </w:r>
      <w:r w:rsidR="00320A5B">
        <w:rPr>
          <w:rStyle w:val="normaltextrun"/>
          <w:rFonts w:ascii="Calibri" w:hAnsi="Calibri" w:cs="Calibri"/>
          <w:sz w:val="22"/>
          <w:szCs w:val="22"/>
          <w:highlight w:val="yellow"/>
        </w:rPr>
        <w:t>O</w:t>
      </w:r>
      <w:r w:rsidR="00320A5B" w:rsidRPr="003157F5">
        <w:rPr>
          <w:rStyle w:val="normaltextrun"/>
          <w:rFonts w:ascii="Calibri" w:hAnsi="Calibri" w:cs="Calibri"/>
          <w:sz w:val="22"/>
          <w:szCs w:val="22"/>
          <w:highlight w:val="yellow"/>
        </w:rPr>
        <w:t>rganization name]</w:t>
      </w:r>
      <w:r w:rsidR="00320A5B">
        <w:rPr>
          <w:rStyle w:val="normaltextrun"/>
          <w:rFonts w:ascii="Calibri" w:hAnsi="Calibri" w:cs="Calibri"/>
          <w:sz w:val="22"/>
          <w:szCs w:val="22"/>
        </w:rPr>
        <w:t xml:space="preserve"> </w:t>
      </w:r>
      <w:r w:rsidR="00EB69CF">
        <w:rPr>
          <w:rFonts w:ascii="Calibri" w:eastAsia="Calibri" w:hAnsi="Calibri" w:cs="Arial"/>
          <w:sz w:val="22"/>
          <w:szCs w:val="22"/>
        </w:rPr>
        <w:t>suggests</w:t>
      </w:r>
      <w:r w:rsidR="00302FA6">
        <w:rPr>
          <w:rFonts w:ascii="Calibri" w:eastAsia="Calibri" w:hAnsi="Calibri" w:cs="Arial"/>
          <w:sz w:val="22"/>
          <w:szCs w:val="22"/>
        </w:rPr>
        <w:t xml:space="preserve"> </w:t>
      </w:r>
      <w:r w:rsidR="00897071">
        <w:rPr>
          <w:rFonts w:ascii="Calibri" w:eastAsia="Calibri" w:hAnsi="Calibri" w:cs="Arial"/>
          <w:sz w:val="22"/>
          <w:szCs w:val="22"/>
        </w:rPr>
        <w:t xml:space="preserve">the agency </w:t>
      </w:r>
      <w:r w:rsidR="00302FA6">
        <w:rPr>
          <w:rFonts w:ascii="Calibri" w:eastAsia="Calibri" w:hAnsi="Calibri" w:cs="Arial"/>
          <w:sz w:val="22"/>
          <w:szCs w:val="22"/>
        </w:rPr>
        <w:t>promulgate regulations for</w:t>
      </w:r>
      <w:r w:rsidR="0056358A">
        <w:rPr>
          <w:rFonts w:ascii="Calibri" w:eastAsia="Calibri" w:hAnsi="Calibri" w:cs="Arial"/>
          <w:sz w:val="22"/>
          <w:szCs w:val="22"/>
        </w:rPr>
        <w:t xml:space="preserve"> the “special registration” originally called for in the Ryan Haight Act that would allow practitioners to prescribe controlled substance via telemedicine in limited circumstances.</w:t>
      </w:r>
      <w:r w:rsidR="0056358A">
        <w:rPr>
          <w:rStyle w:val="EndnoteReference"/>
          <w:rFonts w:ascii="Calibri" w:eastAsia="Calibri" w:hAnsi="Calibri" w:cs="Arial"/>
          <w:sz w:val="22"/>
          <w:szCs w:val="22"/>
        </w:rPr>
        <w:endnoteReference w:id="23"/>
      </w:r>
      <w:r w:rsidR="0056358A">
        <w:rPr>
          <w:rFonts w:ascii="Calibri" w:eastAsia="Calibri" w:hAnsi="Calibri" w:cs="Arial"/>
          <w:sz w:val="22"/>
          <w:szCs w:val="22"/>
        </w:rPr>
        <w:t xml:space="preserve"> </w:t>
      </w:r>
      <w:r w:rsidR="000D1C95">
        <w:rPr>
          <w:rFonts w:ascii="Calibri" w:eastAsia="Calibri" w:hAnsi="Calibri" w:cs="Arial"/>
          <w:sz w:val="22"/>
          <w:szCs w:val="22"/>
        </w:rPr>
        <w:t>Furthermore</w:t>
      </w:r>
      <w:r w:rsidR="0056358A">
        <w:rPr>
          <w:rFonts w:ascii="Calibri" w:eastAsia="Calibri" w:hAnsi="Calibri" w:cs="Arial"/>
          <w:sz w:val="22"/>
          <w:szCs w:val="22"/>
        </w:rPr>
        <w:t>, the Substance Use Disorder that Promotes Opioid Recovery and Treatment (SUPPORT) for Patients and Communities Act, passed in 2018, also included a provision requiring the Attorney General – in consultation with the Secretary of HHS – to promulgate final regulations related to a special registration.</w:t>
      </w:r>
      <w:r w:rsidR="0056358A">
        <w:rPr>
          <w:rStyle w:val="EndnoteReference"/>
          <w:rFonts w:ascii="Calibri" w:eastAsia="Calibri" w:hAnsi="Calibri" w:cs="Arial"/>
          <w:sz w:val="22"/>
          <w:szCs w:val="22"/>
        </w:rPr>
        <w:endnoteReference w:id="24"/>
      </w:r>
      <w:r w:rsidR="0056358A">
        <w:rPr>
          <w:rFonts w:ascii="Calibri" w:eastAsia="Calibri" w:hAnsi="Calibri" w:cs="Arial"/>
          <w:sz w:val="22"/>
          <w:szCs w:val="22"/>
        </w:rPr>
        <w:t xml:space="preserve"> </w:t>
      </w:r>
      <w:r w:rsidR="00947B54">
        <w:rPr>
          <w:rFonts w:ascii="Calibri" w:eastAsia="Calibri" w:hAnsi="Calibri" w:cs="Arial"/>
          <w:sz w:val="22"/>
          <w:szCs w:val="22"/>
        </w:rPr>
        <w:t xml:space="preserve">If necessary, </w:t>
      </w:r>
      <w:r w:rsidR="00320A5B" w:rsidRPr="003157F5">
        <w:rPr>
          <w:rStyle w:val="normaltextrun"/>
          <w:rFonts w:ascii="Calibri" w:hAnsi="Calibri" w:cs="Calibri"/>
          <w:sz w:val="22"/>
          <w:szCs w:val="22"/>
          <w:highlight w:val="yellow"/>
        </w:rPr>
        <w:t>[</w:t>
      </w:r>
      <w:r w:rsidR="00320A5B">
        <w:rPr>
          <w:rStyle w:val="normaltextrun"/>
          <w:rFonts w:ascii="Calibri" w:hAnsi="Calibri" w:cs="Calibri"/>
          <w:sz w:val="22"/>
          <w:szCs w:val="22"/>
          <w:highlight w:val="yellow"/>
        </w:rPr>
        <w:t>O</w:t>
      </w:r>
      <w:r w:rsidR="00320A5B" w:rsidRPr="003157F5">
        <w:rPr>
          <w:rStyle w:val="normaltextrun"/>
          <w:rFonts w:ascii="Calibri" w:hAnsi="Calibri" w:cs="Calibri"/>
          <w:sz w:val="22"/>
          <w:szCs w:val="22"/>
          <w:highlight w:val="yellow"/>
        </w:rPr>
        <w:t>rganization name]</w:t>
      </w:r>
      <w:r w:rsidR="00320A5B">
        <w:rPr>
          <w:rStyle w:val="normaltextrun"/>
          <w:rFonts w:ascii="Calibri" w:hAnsi="Calibri" w:cs="Calibri"/>
          <w:sz w:val="22"/>
          <w:szCs w:val="22"/>
        </w:rPr>
        <w:t xml:space="preserve"> </w:t>
      </w:r>
      <w:r w:rsidR="0056358A">
        <w:rPr>
          <w:rFonts w:ascii="Calibri" w:eastAsia="Calibri" w:hAnsi="Calibri" w:cs="Arial"/>
          <w:sz w:val="22"/>
          <w:szCs w:val="22"/>
        </w:rPr>
        <w:t xml:space="preserve">urges DEA to promulgate special registration regulations as an additional flexibility for providers that is consistent with effective controls against diversion and public health concerns.   </w:t>
      </w:r>
    </w:p>
    <w:p w14:paraId="07767873" w14:textId="77777777" w:rsidR="000C6140" w:rsidRDefault="000C6140" w:rsidP="0056358A">
      <w:pPr>
        <w:pStyle w:val="paragraph"/>
        <w:spacing w:before="0" w:beforeAutospacing="0" w:after="0" w:afterAutospacing="0"/>
        <w:textAlignment w:val="baseline"/>
        <w:rPr>
          <w:rFonts w:ascii="Calibri" w:eastAsia="Calibri" w:hAnsi="Calibri" w:cs="Arial"/>
          <w:sz w:val="22"/>
          <w:szCs w:val="22"/>
        </w:rPr>
      </w:pPr>
    </w:p>
    <w:p w14:paraId="418554DB" w14:textId="05B9703C" w:rsidR="000C6140" w:rsidRPr="00FE56B3" w:rsidRDefault="00367AC6" w:rsidP="0056358A">
      <w:pPr>
        <w:pStyle w:val="paragraph"/>
        <w:spacing w:before="0" w:beforeAutospacing="0" w:after="0" w:afterAutospacing="0"/>
        <w:textAlignment w:val="baseline"/>
        <w:rPr>
          <w:rStyle w:val="normaltextrun"/>
          <w:rFonts w:ascii="Calibri" w:hAnsi="Calibri" w:cs="Calibri"/>
          <w:sz w:val="22"/>
          <w:szCs w:val="22"/>
        </w:rPr>
      </w:pP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AC37B6" w:rsidRPr="00AC37B6">
        <w:rPr>
          <w:rFonts w:ascii="Calibri" w:eastAsia="Calibri" w:hAnsi="Calibri" w:cs="Arial"/>
          <w:sz w:val="22"/>
          <w:szCs w:val="22"/>
          <w:highlight w:val="yellow"/>
        </w:rPr>
        <w:t>[services provided]</w:t>
      </w:r>
      <w:r w:rsidR="000C6140">
        <w:rPr>
          <w:rStyle w:val="eop"/>
          <w:rFonts w:ascii="Calibri" w:hAnsi="Calibri" w:cs="Calibri"/>
          <w:sz w:val="22"/>
          <w:szCs w:val="22"/>
        </w:rPr>
        <w:t xml:space="preserve">. Moreover, the Certified Community Behavioral Health Clinic (CCBHC) model is a specially designated clinic that receives flexible funding to expand the scope of mental health and substance use services available in the community and includes screening, assessment, and diagnoses services; patient-centered treatment planning; outpatient mental health and substance use disorder services; and crisis stabilization and services. The 450 active CCBHCs and grantees serving an estimated 2.1 million individuals, </w:t>
      </w:r>
      <w:r w:rsidR="00D72819">
        <w:rPr>
          <w:rStyle w:val="eop"/>
          <w:rFonts w:ascii="Calibri" w:hAnsi="Calibri" w:cs="Calibri"/>
          <w:sz w:val="22"/>
          <w:szCs w:val="22"/>
        </w:rPr>
        <w:t xml:space="preserve">including approximately </w:t>
      </w:r>
      <w:r w:rsidR="00DF048C">
        <w:rPr>
          <w:rStyle w:val="eop"/>
          <w:rFonts w:ascii="Calibri" w:hAnsi="Calibri" w:cs="Calibri"/>
          <w:sz w:val="22"/>
          <w:szCs w:val="22"/>
        </w:rPr>
        <w:t xml:space="preserve">69,400 </w:t>
      </w:r>
      <w:r w:rsidR="0037398F">
        <w:rPr>
          <w:rStyle w:val="eop"/>
          <w:rFonts w:ascii="Calibri" w:hAnsi="Calibri" w:cs="Calibri"/>
          <w:sz w:val="22"/>
          <w:szCs w:val="22"/>
        </w:rPr>
        <w:t xml:space="preserve">individuals </w:t>
      </w:r>
      <w:r w:rsidR="00DF048C">
        <w:rPr>
          <w:rStyle w:val="eop"/>
          <w:rFonts w:ascii="Calibri" w:hAnsi="Calibri" w:cs="Calibri"/>
          <w:sz w:val="22"/>
          <w:szCs w:val="22"/>
        </w:rPr>
        <w:t xml:space="preserve">receiving medications for opioid use disorder (MOUD), </w:t>
      </w:r>
      <w:r w:rsidR="000C6140">
        <w:rPr>
          <w:rStyle w:val="eop"/>
          <w:rFonts w:ascii="Calibri" w:hAnsi="Calibri" w:cs="Calibri"/>
          <w:sz w:val="22"/>
          <w:szCs w:val="22"/>
        </w:rPr>
        <w:t xml:space="preserve">are prime examples of organizations that </w:t>
      </w:r>
      <w:r w:rsidR="00FE10F3">
        <w:rPr>
          <w:rStyle w:val="eop"/>
          <w:rFonts w:ascii="Calibri" w:hAnsi="Calibri" w:cs="Calibri"/>
          <w:sz w:val="22"/>
          <w:szCs w:val="22"/>
        </w:rPr>
        <w:t>would</w:t>
      </w:r>
      <w:r w:rsidR="000C6140">
        <w:rPr>
          <w:rStyle w:val="eop"/>
          <w:rFonts w:ascii="Calibri" w:hAnsi="Calibri" w:cs="Calibri"/>
          <w:sz w:val="22"/>
          <w:szCs w:val="22"/>
        </w:rPr>
        <w:t xml:space="preserve"> benefit from a special registration </w:t>
      </w:r>
      <w:r w:rsidR="00AC6766">
        <w:rPr>
          <w:rStyle w:val="eop"/>
          <w:rFonts w:ascii="Calibri" w:hAnsi="Calibri" w:cs="Calibri"/>
          <w:sz w:val="22"/>
          <w:szCs w:val="22"/>
        </w:rPr>
        <w:t>while</w:t>
      </w:r>
      <w:r w:rsidR="000C6140">
        <w:rPr>
          <w:rStyle w:val="eop"/>
          <w:rFonts w:ascii="Calibri" w:hAnsi="Calibri" w:cs="Calibri"/>
          <w:sz w:val="22"/>
          <w:szCs w:val="22"/>
        </w:rPr>
        <w:t xml:space="preserve"> </w:t>
      </w:r>
      <w:r w:rsidR="00B11791">
        <w:rPr>
          <w:rStyle w:val="eop"/>
          <w:rFonts w:ascii="Calibri" w:hAnsi="Calibri" w:cs="Calibri"/>
          <w:sz w:val="22"/>
          <w:szCs w:val="22"/>
        </w:rPr>
        <w:t xml:space="preserve">also </w:t>
      </w:r>
      <w:r w:rsidR="000C6140">
        <w:rPr>
          <w:rStyle w:val="eop"/>
          <w:rFonts w:ascii="Calibri" w:hAnsi="Calibri" w:cs="Calibri"/>
          <w:sz w:val="22"/>
          <w:szCs w:val="22"/>
        </w:rPr>
        <w:t>possess</w:t>
      </w:r>
      <w:r w:rsidR="00AC6766">
        <w:rPr>
          <w:rStyle w:val="eop"/>
          <w:rFonts w:ascii="Calibri" w:hAnsi="Calibri" w:cs="Calibri"/>
          <w:sz w:val="22"/>
          <w:szCs w:val="22"/>
        </w:rPr>
        <w:t>ing</w:t>
      </w:r>
      <w:r w:rsidR="000C6140">
        <w:rPr>
          <w:rStyle w:val="eop"/>
          <w:rFonts w:ascii="Calibri" w:hAnsi="Calibri" w:cs="Calibri"/>
          <w:sz w:val="22"/>
          <w:szCs w:val="22"/>
        </w:rPr>
        <w:t xml:space="preserve"> the expertise to address DEA’s concerns regarding diversion.</w:t>
      </w:r>
      <w:r w:rsidR="00A2229D">
        <w:rPr>
          <w:rStyle w:val="EndnoteReference"/>
          <w:rFonts w:ascii="Calibri" w:hAnsi="Calibri" w:cs="Calibri"/>
          <w:sz w:val="22"/>
          <w:szCs w:val="22"/>
        </w:rPr>
        <w:endnoteReference w:id="25"/>
      </w:r>
      <w:r w:rsidR="000C6140">
        <w:rPr>
          <w:rStyle w:val="eop"/>
          <w:rFonts w:ascii="Calibri" w:hAnsi="Calibri" w:cs="Calibri"/>
          <w:sz w:val="22"/>
          <w:szCs w:val="22"/>
        </w:rPr>
        <w:t xml:space="preserve"> Therefore, </w:t>
      </w:r>
      <w:r w:rsidR="00E64F2D" w:rsidRPr="003157F5">
        <w:rPr>
          <w:rStyle w:val="normaltextrun"/>
          <w:rFonts w:ascii="Calibri" w:hAnsi="Calibri" w:cs="Calibri"/>
          <w:sz w:val="22"/>
          <w:szCs w:val="22"/>
          <w:highlight w:val="yellow"/>
        </w:rPr>
        <w:t>[</w:t>
      </w:r>
      <w:r w:rsidR="00E64F2D">
        <w:rPr>
          <w:rStyle w:val="normaltextrun"/>
          <w:rFonts w:ascii="Calibri" w:hAnsi="Calibri" w:cs="Calibri"/>
          <w:sz w:val="22"/>
          <w:szCs w:val="22"/>
          <w:highlight w:val="yellow"/>
        </w:rPr>
        <w:t>O</w:t>
      </w:r>
      <w:r w:rsidR="00E64F2D" w:rsidRPr="003157F5">
        <w:rPr>
          <w:rStyle w:val="normaltextrun"/>
          <w:rFonts w:ascii="Calibri" w:hAnsi="Calibri" w:cs="Calibri"/>
          <w:sz w:val="22"/>
          <w:szCs w:val="22"/>
          <w:highlight w:val="yellow"/>
        </w:rPr>
        <w:t>rganization name]</w:t>
      </w:r>
      <w:r w:rsidR="00E64F2D">
        <w:rPr>
          <w:rStyle w:val="normaltextrun"/>
          <w:rFonts w:ascii="Calibri" w:hAnsi="Calibri" w:cs="Calibri"/>
          <w:sz w:val="22"/>
          <w:szCs w:val="22"/>
        </w:rPr>
        <w:t xml:space="preserve"> </w:t>
      </w:r>
      <w:r w:rsidR="000C6140">
        <w:rPr>
          <w:rStyle w:val="eop"/>
          <w:rFonts w:ascii="Calibri" w:hAnsi="Calibri" w:cs="Calibri"/>
          <w:sz w:val="22"/>
          <w:szCs w:val="22"/>
        </w:rPr>
        <w:t>strongly recommends that DEA consider a special registration for qualified organizations to prescribe non-narcotic controlled substances in Schedule II-V</w:t>
      </w:r>
      <w:r w:rsidR="00EB64CD">
        <w:rPr>
          <w:rStyle w:val="eop"/>
          <w:rFonts w:ascii="Calibri" w:hAnsi="Calibri" w:cs="Calibri"/>
          <w:sz w:val="22"/>
          <w:szCs w:val="22"/>
        </w:rPr>
        <w:t>, including buprenorphine,</w:t>
      </w:r>
      <w:r w:rsidR="000C6140">
        <w:rPr>
          <w:rStyle w:val="eop"/>
          <w:rFonts w:ascii="Calibri" w:hAnsi="Calibri" w:cs="Calibri"/>
          <w:sz w:val="22"/>
          <w:szCs w:val="22"/>
        </w:rPr>
        <w:t xml:space="preserve"> without</w:t>
      </w:r>
      <w:r w:rsidR="007274BE">
        <w:rPr>
          <w:rStyle w:val="eop"/>
          <w:rFonts w:ascii="Calibri" w:hAnsi="Calibri" w:cs="Calibri"/>
          <w:sz w:val="22"/>
          <w:szCs w:val="22"/>
        </w:rPr>
        <w:t xml:space="preserve"> ever requiring an in-person evaluation</w:t>
      </w:r>
      <w:r w:rsidR="000C6140">
        <w:rPr>
          <w:rStyle w:val="eop"/>
          <w:rFonts w:ascii="Calibri" w:hAnsi="Calibri" w:cs="Calibri"/>
          <w:sz w:val="22"/>
          <w:szCs w:val="22"/>
        </w:rPr>
        <w:t xml:space="preserve">. </w:t>
      </w:r>
    </w:p>
    <w:p w14:paraId="46FC4B9E"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F74B84" w14:textId="57736540" w:rsidR="0056358A" w:rsidRDefault="00206C1D" w:rsidP="0056358A">
      <w:r>
        <w:t xml:space="preserve">The Proposed Rule </w:t>
      </w:r>
      <w:r w:rsidR="0056358A">
        <w:t>requests comments on whether the Notice of Proposed Rulemaking, entitled “</w:t>
      </w:r>
      <w:r w:rsidR="00404A99">
        <w:t>Telemedicine prescribing of controlled substances when the practitioner and the patient have not had a prior in-person medical evaluation” (RIN 1117-AB40)</w:t>
      </w:r>
      <w:r w:rsidR="0056358A">
        <w:t xml:space="preserve">, should be combined with his rulemaking when </w:t>
      </w:r>
      <w:r w:rsidR="0056358A">
        <w:lastRenderedPageBreak/>
        <w:t>publishing the Final Rule.</w:t>
      </w:r>
      <w:r w:rsidR="004F7CD3">
        <w:rPr>
          <w:rStyle w:val="EndnoteReference"/>
        </w:rPr>
        <w:endnoteReference w:id="26"/>
      </w:r>
      <w:r w:rsidR="0056358A">
        <w:t xml:space="preserve"> </w:t>
      </w:r>
      <w:r w:rsidR="00A7084B" w:rsidRPr="003157F5">
        <w:rPr>
          <w:rStyle w:val="normaltextrun"/>
          <w:rFonts w:ascii="Calibri" w:hAnsi="Calibri" w:cs="Calibri"/>
          <w:highlight w:val="yellow"/>
        </w:rPr>
        <w:t>[</w:t>
      </w:r>
      <w:r w:rsidR="00A7084B">
        <w:rPr>
          <w:rStyle w:val="normaltextrun"/>
          <w:rFonts w:ascii="Calibri" w:hAnsi="Calibri" w:cs="Calibri"/>
          <w:highlight w:val="yellow"/>
        </w:rPr>
        <w:t>O</w:t>
      </w:r>
      <w:r w:rsidR="00A7084B" w:rsidRPr="003157F5">
        <w:rPr>
          <w:rStyle w:val="normaltextrun"/>
          <w:rFonts w:ascii="Calibri" w:hAnsi="Calibri" w:cs="Calibri"/>
          <w:highlight w:val="yellow"/>
        </w:rPr>
        <w:t>rganization name]</w:t>
      </w:r>
      <w:r w:rsidR="00A7084B">
        <w:rPr>
          <w:rStyle w:val="normaltextrun"/>
          <w:rFonts w:ascii="Calibri" w:hAnsi="Calibri" w:cs="Calibri"/>
        </w:rPr>
        <w:t xml:space="preserve"> </w:t>
      </w:r>
      <w:r w:rsidR="0056358A">
        <w:t xml:space="preserve">fully supports this proposal as both </w:t>
      </w:r>
      <w:r w:rsidR="000D2ED2">
        <w:t>Proposed Rules</w:t>
      </w:r>
      <w:r w:rsidR="0056358A">
        <w:t xml:space="preserve"> pertain to prescribing controlled substances utilizing telemedicine. </w:t>
      </w:r>
    </w:p>
    <w:p w14:paraId="7F18FF36" w14:textId="43D5E393" w:rsidR="0056358A" w:rsidRDefault="00A7084B" w:rsidP="0056358A">
      <w:pPr>
        <w:pStyle w:val="paragraph"/>
        <w:spacing w:before="0" w:beforeAutospacing="0" w:after="0" w:afterAutospacing="0"/>
        <w:textAlignment w:val="baseline"/>
        <w:rPr>
          <w:rFonts w:ascii="Segoe UI" w:hAnsi="Segoe UI" w:cs="Segoe UI"/>
          <w:sz w:val="18"/>
          <w:szCs w:val="18"/>
        </w:rPr>
      </w:pP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56358A">
        <w:rPr>
          <w:rStyle w:val="normaltextrun"/>
          <w:rFonts w:ascii="Calibri" w:hAnsi="Calibri" w:cs="Calibri"/>
          <w:sz w:val="22"/>
          <w:szCs w:val="22"/>
        </w:rPr>
        <w:t xml:space="preserve">appreciates the opportunity to provide these comments. We welcome any questions or further discussion about the recommendations described here. Please contact </w:t>
      </w:r>
      <w:r w:rsidRPr="00A7084B">
        <w:rPr>
          <w:rStyle w:val="normaltextrun"/>
          <w:rFonts w:ascii="Calibri" w:hAnsi="Calibri" w:cs="Calibri"/>
          <w:sz w:val="22"/>
          <w:szCs w:val="22"/>
          <w:highlight w:val="yellow"/>
        </w:rPr>
        <w:t>[contact name and email address]</w:t>
      </w:r>
      <w:r w:rsidR="0056358A">
        <w:rPr>
          <w:rStyle w:val="normaltextrun"/>
          <w:rFonts w:ascii="Calibri" w:hAnsi="Calibri" w:cs="Calibri"/>
          <w:sz w:val="22"/>
          <w:szCs w:val="22"/>
        </w:rPr>
        <w:t>. Thank you for your time and consideration. </w:t>
      </w:r>
      <w:r w:rsidR="0056358A">
        <w:rPr>
          <w:rStyle w:val="eop"/>
          <w:rFonts w:ascii="Calibri" w:hAnsi="Calibri" w:cs="Calibri"/>
          <w:sz w:val="22"/>
          <w:szCs w:val="22"/>
        </w:rPr>
        <w:t> </w:t>
      </w:r>
    </w:p>
    <w:p w14:paraId="7D03A8E9"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73DADF" w14:textId="77777777" w:rsidR="0056358A" w:rsidRDefault="0056358A" w:rsidP="0056358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33DA7D7E" w14:textId="77777777" w:rsidR="00BE00F7" w:rsidRDefault="00BE00F7"/>
    <w:p w14:paraId="092FC4F0" w14:textId="192C38B9" w:rsidR="00A7084B" w:rsidRDefault="00A7084B">
      <w:r w:rsidRPr="00A7084B">
        <w:rPr>
          <w:highlight w:val="yellow"/>
        </w:rPr>
        <w:t>[Signature]</w:t>
      </w:r>
    </w:p>
    <w:p w14:paraId="3DCCD4BB" w14:textId="77777777" w:rsidR="0036728E" w:rsidRDefault="0036728E"/>
    <w:p w14:paraId="726BAC02" w14:textId="77777777" w:rsidR="0036728E" w:rsidRDefault="0036728E"/>
    <w:sectPr w:rsidR="003672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7C2C" w14:textId="77777777" w:rsidR="006613FD" w:rsidRDefault="006613FD" w:rsidP="0056358A">
      <w:pPr>
        <w:spacing w:after="0" w:line="240" w:lineRule="auto"/>
      </w:pPr>
      <w:r>
        <w:separator/>
      </w:r>
    </w:p>
  </w:endnote>
  <w:endnote w:type="continuationSeparator" w:id="0">
    <w:p w14:paraId="3915E5A1" w14:textId="77777777" w:rsidR="006613FD" w:rsidRDefault="006613FD" w:rsidP="0056358A">
      <w:pPr>
        <w:spacing w:after="0" w:line="240" w:lineRule="auto"/>
      </w:pPr>
      <w:r>
        <w:continuationSeparator/>
      </w:r>
    </w:p>
  </w:endnote>
  <w:endnote w:type="continuationNotice" w:id="1">
    <w:p w14:paraId="4842B117" w14:textId="77777777" w:rsidR="006613FD" w:rsidRDefault="006613FD">
      <w:pPr>
        <w:spacing w:after="0" w:line="240" w:lineRule="auto"/>
      </w:pPr>
    </w:p>
  </w:endnote>
  <w:endnote w:id="2">
    <w:p w14:paraId="6E4C9AF7" w14:textId="24DDC7C8"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3">
    <w:p w14:paraId="0BE1E59A" w14:textId="77777777" w:rsidR="0056358A" w:rsidRDefault="0056358A" w:rsidP="0056358A">
      <w:pPr>
        <w:pStyle w:val="EndnoteText"/>
      </w:pPr>
      <w:r>
        <w:rPr>
          <w:rStyle w:val="EndnoteReference"/>
        </w:rPr>
        <w:endnoteRef/>
      </w:r>
      <w:r>
        <w:t xml:space="preserve"> </w:t>
      </w:r>
      <w:r w:rsidRPr="00EC7C62">
        <w:t>https://www.deadiversion.usdoj.gov/faq/coronavirus_faq.htm</w:t>
      </w:r>
    </w:p>
  </w:endnote>
  <w:endnote w:id="4">
    <w:p w14:paraId="7431FFC3" w14:textId="12BC8A4B"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5">
    <w:p w14:paraId="2100DEF5" w14:textId="1CE0426A"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6">
    <w:p w14:paraId="39762995" w14:textId="6686CE65"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7">
    <w:p w14:paraId="5F9F8209" w14:textId="7C89EF74" w:rsidR="004D54CE" w:rsidRDefault="004D54CE">
      <w:pPr>
        <w:pStyle w:val="EndnoteText"/>
      </w:pPr>
      <w:r>
        <w:rPr>
          <w:rStyle w:val="EndnoteReference"/>
        </w:rPr>
        <w:endnoteRef/>
      </w:r>
      <w:r>
        <w:t xml:space="preserve"> </w:t>
      </w:r>
      <w:r w:rsidRPr="006055EB">
        <w:t>https://www.samhsa.gov/find-help/disorders</w:t>
      </w:r>
    </w:p>
  </w:endnote>
  <w:endnote w:id="8">
    <w:p w14:paraId="1E9BDDD3" w14:textId="00D2EFDB"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9">
    <w:p w14:paraId="5C9999EE" w14:textId="44ED05B5" w:rsidR="0056358A" w:rsidRDefault="0056358A" w:rsidP="0056358A">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10">
    <w:p w14:paraId="0BB314BC" w14:textId="77777777" w:rsidR="0056358A" w:rsidRDefault="0056358A" w:rsidP="0056358A">
      <w:pPr>
        <w:pStyle w:val="EndnoteText"/>
      </w:pPr>
      <w:r>
        <w:rPr>
          <w:rStyle w:val="EndnoteReference"/>
        </w:rPr>
        <w:endnoteRef/>
      </w:r>
      <w:r>
        <w:t xml:space="preserve"> </w:t>
      </w:r>
      <w:r w:rsidRPr="00051434">
        <w:t>https://www.cdc.gov/mmwr/volumes/69/wr/mm6932a1.htm</w:t>
      </w:r>
    </w:p>
  </w:endnote>
  <w:endnote w:id="11">
    <w:p w14:paraId="702F1888" w14:textId="77777777" w:rsidR="0056358A" w:rsidRDefault="0056358A" w:rsidP="0056358A">
      <w:pPr>
        <w:pStyle w:val="EndnoteText"/>
      </w:pPr>
      <w:r>
        <w:rPr>
          <w:rStyle w:val="EndnoteReference"/>
        </w:rPr>
        <w:endnoteRef/>
      </w:r>
      <w:r>
        <w:t xml:space="preserve"> </w:t>
      </w:r>
      <w:hyperlink r:id="rId1" w:history="1">
        <w:r w:rsidRPr="00210DDA">
          <w:rPr>
            <w:rStyle w:val="Hyperlink"/>
          </w:rPr>
          <w:t>https://www.thenationalcouncil.org/news/statement-from-national-council-for-mental-wellbeing-president-and-ceo-chuck-ingoglia-on-the-new-role-of-virtual-care-in-behavioral-health-report-in-conjunction-with-qualifacts-systems-inc/</w:t>
        </w:r>
      </w:hyperlink>
      <w:r>
        <w:t xml:space="preserve"> </w:t>
      </w:r>
    </w:p>
  </w:endnote>
  <w:endnote w:id="12">
    <w:p w14:paraId="37B6FBFF" w14:textId="79D84721" w:rsidR="0056358A" w:rsidRDefault="0056358A" w:rsidP="0056358A">
      <w:pPr>
        <w:pStyle w:val="EndnoteText"/>
      </w:pPr>
      <w:r>
        <w:rPr>
          <w:rStyle w:val="EndnoteReference"/>
        </w:rPr>
        <w:endnoteRef/>
      </w:r>
      <w:r>
        <w:t xml:space="preserve"> </w:t>
      </w:r>
      <w:hyperlink r:id="rId2" w:history="1">
        <w:r w:rsidRPr="00EE2A3B">
          <w:rPr>
            <w:rStyle w:val="Hyperlink"/>
          </w:rPr>
          <w:t>https://www.cdc.gov/nchs/nvss/vsrr/drug-overdose-data.htm</w:t>
        </w:r>
      </w:hyperlink>
    </w:p>
  </w:endnote>
  <w:endnote w:id="13">
    <w:p w14:paraId="0F889D33" w14:textId="26BDC035" w:rsidR="00BC4B41" w:rsidRDefault="00BC4B41">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14">
    <w:p w14:paraId="23DF9F7E" w14:textId="4FED5F8C" w:rsidR="00E46046" w:rsidRDefault="00E46046">
      <w:pPr>
        <w:pStyle w:val="EndnoteText"/>
      </w:pPr>
      <w:r>
        <w:rPr>
          <w:rStyle w:val="EndnoteReference"/>
        </w:rPr>
        <w:endnoteRef/>
      </w:r>
      <w:r>
        <w:t xml:space="preserve"> </w:t>
      </w:r>
      <w:r w:rsidR="001E28D4" w:rsidRPr="001E28D4">
        <w:t>https://www.federalregister.gov/documents/2023/03/01/2023-04217/expansion-of-induction-of-buprenorphine-via-telemedicine-encounter#citation-40-p12894</w:t>
      </w:r>
    </w:p>
  </w:endnote>
  <w:endnote w:id="15">
    <w:p w14:paraId="56155410" w14:textId="761FC3D4" w:rsidR="00342E74" w:rsidRDefault="00342E74">
      <w:pPr>
        <w:pStyle w:val="EndnoteText"/>
      </w:pPr>
      <w:r>
        <w:rPr>
          <w:rStyle w:val="EndnoteReference"/>
        </w:rPr>
        <w:endnoteRef/>
      </w:r>
      <w:r w:rsidRPr="00342E74">
        <w:t>https://jamanetwork.com/journals/jamanetworkopen/fullarticle/2769683?utm_source=For_The_Media&amp;utm_medium=referral&amp;utm_campaign=ftm_links&amp;utm_term=082420</w:t>
      </w:r>
    </w:p>
  </w:endnote>
  <w:endnote w:id="16">
    <w:p w14:paraId="7C51078A" w14:textId="7C37BC8A" w:rsidR="00E156FF" w:rsidRDefault="00E156FF">
      <w:pPr>
        <w:pStyle w:val="EndnoteText"/>
      </w:pPr>
      <w:r>
        <w:rPr>
          <w:rStyle w:val="EndnoteReference"/>
        </w:rPr>
        <w:endnoteRef/>
      </w:r>
      <w:r>
        <w:t xml:space="preserve"> </w:t>
      </w:r>
      <w:r w:rsidRPr="00E156FF">
        <w:t>https://bmcprimcare.biomedcentral.com/articles/10.1186/s12875-019-1047-z</w:t>
      </w:r>
    </w:p>
  </w:endnote>
  <w:endnote w:id="17">
    <w:p w14:paraId="010CD293" w14:textId="0136D1F3" w:rsidR="00DC1733" w:rsidRDefault="00DC1733">
      <w:pPr>
        <w:pStyle w:val="EndnoteText"/>
      </w:pPr>
      <w:r>
        <w:rPr>
          <w:rStyle w:val="EndnoteReference"/>
        </w:rPr>
        <w:endnoteRef/>
      </w:r>
      <w:r>
        <w:t xml:space="preserve"> </w:t>
      </w:r>
      <w:r w:rsidRPr="00DC1733">
        <w:t>https://www.federalregister.gov/documents/2023/03/01/2023-04217/expansion-of-induction-of-buprenorphine-via-telemedicine-encounter#citation-40-p12894</w:t>
      </w:r>
    </w:p>
  </w:endnote>
  <w:endnote w:id="18">
    <w:p w14:paraId="314CFAA8" w14:textId="65134C02" w:rsidR="000646E1" w:rsidRDefault="000646E1">
      <w:pPr>
        <w:pStyle w:val="EndnoteText"/>
      </w:pPr>
      <w:r>
        <w:rPr>
          <w:rStyle w:val="EndnoteReference"/>
        </w:rPr>
        <w:endnoteRef/>
      </w:r>
      <w:r>
        <w:t xml:space="preserve"> </w:t>
      </w:r>
      <w:r w:rsidRPr="000646E1">
        <w:t>https://pubmed.ncbi.nlm.nih.gov/29923637/</w:t>
      </w:r>
    </w:p>
  </w:endnote>
  <w:endnote w:id="19">
    <w:p w14:paraId="627F516D" w14:textId="64BC0B28" w:rsidR="00512FAA" w:rsidRDefault="00512FAA">
      <w:pPr>
        <w:pStyle w:val="EndnoteText"/>
      </w:pPr>
      <w:r>
        <w:rPr>
          <w:rStyle w:val="EndnoteReference"/>
        </w:rPr>
        <w:endnoteRef/>
      </w:r>
      <w:r>
        <w:t xml:space="preserve"> </w:t>
      </w:r>
      <w:r w:rsidRPr="00512FAA">
        <w:t>https://www.federalregister.gov/documents/2023/03/01/2023-04217/expansion-of-induction-of-buprenorphine-via-telemedicine-encounter#citation-40-p12894</w:t>
      </w:r>
    </w:p>
  </w:endnote>
  <w:endnote w:id="20">
    <w:p w14:paraId="4596E5B4" w14:textId="33143417" w:rsidR="00ED619B" w:rsidRDefault="00ED619B">
      <w:pPr>
        <w:pStyle w:val="EndnoteText"/>
      </w:pPr>
      <w:r>
        <w:rPr>
          <w:rStyle w:val="EndnoteReference"/>
        </w:rPr>
        <w:endnoteRef/>
      </w:r>
      <w:r>
        <w:t xml:space="preserve"> </w:t>
      </w:r>
      <w:r w:rsidRPr="00ED619B">
        <w:t>https://jamanetwork.com/journals/jamanetworkopen/fullarticle/2800689</w:t>
      </w:r>
    </w:p>
  </w:endnote>
  <w:endnote w:id="21">
    <w:p w14:paraId="07C3A11E" w14:textId="6605B626" w:rsidR="00023867" w:rsidRDefault="00023867">
      <w:pPr>
        <w:pStyle w:val="EndnoteText"/>
      </w:pPr>
      <w:r>
        <w:rPr>
          <w:rStyle w:val="EndnoteReference"/>
        </w:rPr>
        <w:endnoteRef/>
      </w:r>
      <w:r>
        <w:t xml:space="preserve"> </w:t>
      </w:r>
      <w:r w:rsidRPr="00023867">
        <w:t>doi:10.1001/jamapsychiatry.2022.2284</w:t>
      </w:r>
    </w:p>
  </w:endnote>
  <w:endnote w:id="22">
    <w:p w14:paraId="777BB18C" w14:textId="3B27F53A" w:rsidR="00C108D3" w:rsidRDefault="00C108D3">
      <w:pPr>
        <w:pStyle w:val="EndnoteText"/>
      </w:pPr>
      <w:r>
        <w:rPr>
          <w:rStyle w:val="EndnoteReference"/>
        </w:rPr>
        <w:endnoteRef/>
      </w:r>
      <w:r>
        <w:t xml:space="preserve"> </w:t>
      </w:r>
      <w:r w:rsidRPr="00C108D3">
        <w:t>https://www.federalregister.gov/documents/2023/03/01/2023-04217/expansion-of-induction-of-buprenorphine-via-telemedicine-encounter#citation-40-p12894</w:t>
      </w:r>
    </w:p>
  </w:endnote>
  <w:endnote w:id="23">
    <w:p w14:paraId="01EE4759" w14:textId="77777777" w:rsidR="0056358A" w:rsidRDefault="0056358A" w:rsidP="0056358A">
      <w:pPr>
        <w:pStyle w:val="EndnoteText"/>
      </w:pPr>
      <w:r>
        <w:rPr>
          <w:rStyle w:val="EndnoteReference"/>
        </w:rPr>
        <w:endnoteRef/>
      </w:r>
      <w:r>
        <w:t xml:space="preserve"> </w:t>
      </w:r>
      <w:r w:rsidRPr="009479FA">
        <w:t>https://www.congress.gov/110/plaws/publ425/PLAW-110publ425.pdf</w:t>
      </w:r>
    </w:p>
  </w:endnote>
  <w:endnote w:id="24">
    <w:p w14:paraId="2D33CF6A" w14:textId="77777777" w:rsidR="0056358A" w:rsidRDefault="0056358A" w:rsidP="0056358A">
      <w:pPr>
        <w:pStyle w:val="EndnoteText"/>
      </w:pPr>
      <w:r>
        <w:rPr>
          <w:rStyle w:val="EndnoteReference"/>
        </w:rPr>
        <w:endnoteRef/>
      </w:r>
      <w:r>
        <w:t xml:space="preserve"> </w:t>
      </w:r>
      <w:r w:rsidRPr="00402617">
        <w:t>https://www.congress.gov/bill/115th-congress/house-bill/6</w:t>
      </w:r>
    </w:p>
  </w:endnote>
  <w:endnote w:id="25">
    <w:p w14:paraId="3B168DEA" w14:textId="11FBD15E" w:rsidR="00A2229D" w:rsidRDefault="00A2229D">
      <w:pPr>
        <w:pStyle w:val="EndnoteText"/>
      </w:pPr>
      <w:r>
        <w:rPr>
          <w:rStyle w:val="EndnoteReference"/>
        </w:rPr>
        <w:endnoteRef/>
      </w:r>
      <w:r>
        <w:t xml:space="preserve"> </w:t>
      </w:r>
      <w:r w:rsidRPr="00A2229D">
        <w:t>https://www.thenationalcouncil.org/resources/2022-ccbhc-impact-report/</w:t>
      </w:r>
    </w:p>
  </w:endnote>
  <w:endnote w:id="26">
    <w:p w14:paraId="5BECDCED" w14:textId="31886C7E" w:rsidR="004F7CD3" w:rsidRDefault="004F7CD3">
      <w:pPr>
        <w:pStyle w:val="EndnoteText"/>
      </w:pPr>
      <w:r>
        <w:rPr>
          <w:rStyle w:val="EndnoteReference"/>
        </w:rPr>
        <w:endnoteRef/>
      </w:r>
      <w:r>
        <w:t xml:space="preserve"> </w:t>
      </w:r>
      <w:r w:rsidRPr="004F7CD3">
        <w:t>https://www.federalregister.gov/documents/2023/03/01/2023-04217/expansion-of-induction-of-buprenorphine-via-telemedicine-encounter#citation-40-p12894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B1DAB" w14:textId="77777777" w:rsidR="006613FD" w:rsidRDefault="006613FD" w:rsidP="0056358A">
      <w:pPr>
        <w:spacing w:after="0" w:line="240" w:lineRule="auto"/>
      </w:pPr>
      <w:r>
        <w:separator/>
      </w:r>
    </w:p>
  </w:footnote>
  <w:footnote w:type="continuationSeparator" w:id="0">
    <w:p w14:paraId="62AB5BC6" w14:textId="77777777" w:rsidR="006613FD" w:rsidRDefault="006613FD" w:rsidP="0056358A">
      <w:pPr>
        <w:spacing w:after="0" w:line="240" w:lineRule="auto"/>
      </w:pPr>
      <w:r>
        <w:continuationSeparator/>
      </w:r>
    </w:p>
  </w:footnote>
  <w:footnote w:type="continuationNotice" w:id="1">
    <w:p w14:paraId="2E6F3D8D" w14:textId="77777777" w:rsidR="006613FD" w:rsidRDefault="006613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A3036"/>
    <w:multiLevelType w:val="hybridMultilevel"/>
    <w:tmpl w:val="E730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14D4C"/>
    <w:multiLevelType w:val="hybridMultilevel"/>
    <w:tmpl w:val="3764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3782853">
    <w:abstractNumId w:val="1"/>
  </w:num>
  <w:num w:numId="2" w16cid:durableId="147614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8A"/>
    <w:rsid w:val="00023867"/>
    <w:rsid w:val="000409E8"/>
    <w:rsid w:val="00055E70"/>
    <w:rsid w:val="000611B4"/>
    <w:rsid w:val="000646E1"/>
    <w:rsid w:val="00074F6C"/>
    <w:rsid w:val="00093663"/>
    <w:rsid w:val="000936F8"/>
    <w:rsid w:val="000A092C"/>
    <w:rsid w:val="000C0D56"/>
    <w:rsid w:val="000C6140"/>
    <w:rsid w:val="000D1C95"/>
    <w:rsid w:val="000D2ED2"/>
    <w:rsid w:val="000E7615"/>
    <w:rsid w:val="000F7BA7"/>
    <w:rsid w:val="001052E1"/>
    <w:rsid w:val="00106349"/>
    <w:rsid w:val="0012396B"/>
    <w:rsid w:val="00127555"/>
    <w:rsid w:val="00144282"/>
    <w:rsid w:val="001449C4"/>
    <w:rsid w:val="001457F0"/>
    <w:rsid w:val="00155E49"/>
    <w:rsid w:val="0017484C"/>
    <w:rsid w:val="0018551B"/>
    <w:rsid w:val="00193D17"/>
    <w:rsid w:val="00197F8F"/>
    <w:rsid w:val="001A52F7"/>
    <w:rsid w:val="001B0FD3"/>
    <w:rsid w:val="001D5C1F"/>
    <w:rsid w:val="001E12B4"/>
    <w:rsid w:val="001E28D4"/>
    <w:rsid w:val="00206C1D"/>
    <w:rsid w:val="00223F13"/>
    <w:rsid w:val="00224A90"/>
    <w:rsid w:val="002346DE"/>
    <w:rsid w:val="00237F59"/>
    <w:rsid w:val="0024101E"/>
    <w:rsid w:val="002431CC"/>
    <w:rsid w:val="002438E9"/>
    <w:rsid w:val="00250AB0"/>
    <w:rsid w:val="00254B42"/>
    <w:rsid w:val="00271263"/>
    <w:rsid w:val="0027217A"/>
    <w:rsid w:val="00281B99"/>
    <w:rsid w:val="002A2232"/>
    <w:rsid w:val="002A387C"/>
    <w:rsid w:val="002C2B4A"/>
    <w:rsid w:val="002C34D1"/>
    <w:rsid w:val="002D27EC"/>
    <w:rsid w:val="002D4842"/>
    <w:rsid w:val="002D56C1"/>
    <w:rsid w:val="00302FA6"/>
    <w:rsid w:val="0030505C"/>
    <w:rsid w:val="003052D0"/>
    <w:rsid w:val="0030556C"/>
    <w:rsid w:val="003157F5"/>
    <w:rsid w:val="00320A5B"/>
    <w:rsid w:val="00342E74"/>
    <w:rsid w:val="00355356"/>
    <w:rsid w:val="003666FC"/>
    <w:rsid w:val="0036728E"/>
    <w:rsid w:val="00367AC6"/>
    <w:rsid w:val="0037398F"/>
    <w:rsid w:val="003A39F4"/>
    <w:rsid w:val="003B2808"/>
    <w:rsid w:val="003B2D03"/>
    <w:rsid w:val="003B3F94"/>
    <w:rsid w:val="003C0CD9"/>
    <w:rsid w:val="00400824"/>
    <w:rsid w:val="00404A99"/>
    <w:rsid w:val="00421010"/>
    <w:rsid w:val="0042143D"/>
    <w:rsid w:val="00460447"/>
    <w:rsid w:val="00476001"/>
    <w:rsid w:val="00483569"/>
    <w:rsid w:val="004878CF"/>
    <w:rsid w:val="0049010A"/>
    <w:rsid w:val="004918EF"/>
    <w:rsid w:val="004A0450"/>
    <w:rsid w:val="004C6498"/>
    <w:rsid w:val="004D2C24"/>
    <w:rsid w:val="004D54CE"/>
    <w:rsid w:val="004D5627"/>
    <w:rsid w:val="004F2B4A"/>
    <w:rsid w:val="004F7C34"/>
    <w:rsid w:val="004F7CD3"/>
    <w:rsid w:val="00512FAA"/>
    <w:rsid w:val="00513AF9"/>
    <w:rsid w:val="005263BC"/>
    <w:rsid w:val="0053171E"/>
    <w:rsid w:val="00535CF4"/>
    <w:rsid w:val="00542849"/>
    <w:rsid w:val="005566F1"/>
    <w:rsid w:val="00561BD0"/>
    <w:rsid w:val="0056358A"/>
    <w:rsid w:val="00564D12"/>
    <w:rsid w:val="00577B25"/>
    <w:rsid w:val="00582569"/>
    <w:rsid w:val="00592E60"/>
    <w:rsid w:val="005C1C9D"/>
    <w:rsid w:val="005C3680"/>
    <w:rsid w:val="005C4327"/>
    <w:rsid w:val="005D0101"/>
    <w:rsid w:val="005D15E3"/>
    <w:rsid w:val="005F1892"/>
    <w:rsid w:val="005F2457"/>
    <w:rsid w:val="00601E63"/>
    <w:rsid w:val="00605397"/>
    <w:rsid w:val="006053B8"/>
    <w:rsid w:val="006139D2"/>
    <w:rsid w:val="00617669"/>
    <w:rsid w:val="00617FB2"/>
    <w:rsid w:val="00626FAD"/>
    <w:rsid w:val="00633E00"/>
    <w:rsid w:val="00633E9D"/>
    <w:rsid w:val="006424A0"/>
    <w:rsid w:val="006613FD"/>
    <w:rsid w:val="006818BC"/>
    <w:rsid w:val="00693544"/>
    <w:rsid w:val="006C21F4"/>
    <w:rsid w:val="006D4499"/>
    <w:rsid w:val="006D5239"/>
    <w:rsid w:val="006E0EA3"/>
    <w:rsid w:val="006E3EB6"/>
    <w:rsid w:val="006E78CB"/>
    <w:rsid w:val="006F1FA9"/>
    <w:rsid w:val="00704472"/>
    <w:rsid w:val="00710EB8"/>
    <w:rsid w:val="00715169"/>
    <w:rsid w:val="00715F8E"/>
    <w:rsid w:val="00722A68"/>
    <w:rsid w:val="00725052"/>
    <w:rsid w:val="007274BE"/>
    <w:rsid w:val="00734AAD"/>
    <w:rsid w:val="007469F7"/>
    <w:rsid w:val="00764296"/>
    <w:rsid w:val="00766B4E"/>
    <w:rsid w:val="00770623"/>
    <w:rsid w:val="0079347B"/>
    <w:rsid w:val="007A0808"/>
    <w:rsid w:val="007B3C2E"/>
    <w:rsid w:val="007B59E0"/>
    <w:rsid w:val="007D35AD"/>
    <w:rsid w:val="007D3F80"/>
    <w:rsid w:val="00807C87"/>
    <w:rsid w:val="00815462"/>
    <w:rsid w:val="0083115C"/>
    <w:rsid w:val="0084705A"/>
    <w:rsid w:val="00850EB3"/>
    <w:rsid w:val="008765E3"/>
    <w:rsid w:val="008964A1"/>
    <w:rsid w:val="00897071"/>
    <w:rsid w:val="008C43EA"/>
    <w:rsid w:val="008D0C11"/>
    <w:rsid w:val="008D60EE"/>
    <w:rsid w:val="008F083D"/>
    <w:rsid w:val="00910742"/>
    <w:rsid w:val="00913CE2"/>
    <w:rsid w:val="00913F4C"/>
    <w:rsid w:val="00934609"/>
    <w:rsid w:val="00945F67"/>
    <w:rsid w:val="009477F9"/>
    <w:rsid w:val="00947B54"/>
    <w:rsid w:val="00951A66"/>
    <w:rsid w:val="00952C08"/>
    <w:rsid w:val="009640E1"/>
    <w:rsid w:val="00971787"/>
    <w:rsid w:val="00973979"/>
    <w:rsid w:val="009812BF"/>
    <w:rsid w:val="00984AC6"/>
    <w:rsid w:val="00987C92"/>
    <w:rsid w:val="00990976"/>
    <w:rsid w:val="009951B1"/>
    <w:rsid w:val="00995950"/>
    <w:rsid w:val="009A0EC2"/>
    <w:rsid w:val="009A4E3D"/>
    <w:rsid w:val="009D608D"/>
    <w:rsid w:val="009E3DBF"/>
    <w:rsid w:val="00A13825"/>
    <w:rsid w:val="00A1797E"/>
    <w:rsid w:val="00A2229D"/>
    <w:rsid w:val="00A3541E"/>
    <w:rsid w:val="00A4707E"/>
    <w:rsid w:val="00A53024"/>
    <w:rsid w:val="00A65B9A"/>
    <w:rsid w:val="00A7084B"/>
    <w:rsid w:val="00A70B39"/>
    <w:rsid w:val="00A7108C"/>
    <w:rsid w:val="00A7442A"/>
    <w:rsid w:val="00A84A51"/>
    <w:rsid w:val="00A8728F"/>
    <w:rsid w:val="00A91118"/>
    <w:rsid w:val="00A918F6"/>
    <w:rsid w:val="00AA6D66"/>
    <w:rsid w:val="00AC37B6"/>
    <w:rsid w:val="00AC6766"/>
    <w:rsid w:val="00AF4346"/>
    <w:rsid w:val="00AF5EFF"/>
    <w:rsid w:val="00B11791"/>
    <w:rsid w:val="00B20658"/>
    <w:rsid w:val="00B34ECF"/>
    <w:rsid w:val="00B36C7F"/>
    <w:rsid w:val="00B4391D"/>
    <w:rsid w:val="00B67960"/>
    <w:rsid w:val="00B728F5"/>
    <w:rsid w:val="00B82476"/>
    <w:rsid w:val="00B94A82"/>
    <w:rsid w:val="00BA0B7F"/>
    <w:rsid w:val="00BA0F88"/>
    <w:rsid w:val="00BC03DE"/>
    <w:rsid w:val="00BC4B41"/>
    <w:rsid w:val="00BD5380"/>
    <w:rsid w:val="00BE00F7"/>
    <w:rsid w:val="00BE0AA6"/>
    <w:rsid w:val="00BF4133"/>
    <w:rsid w:val="00C012EA"/>
    <w:rsid w:val="00C108D3"/>
    <w:rsid w:val="00C16C75"/>
    <w:rsid w:val="00C2555F"/>
    <w:rsid w:val="00C26813"/>
    <w:rsid w:val="00C32882"/>
    <w:rsid w:val="00C4414D"/>
    <w:rsid w:val="00C65BBC"/>
    <w:rsid w:val="00C75A85"/>
    <w:rsid w:val="00C839E3"/>
    <w:rsid w:val="00C90528"/>
    <w:rsid w:val="00CA1496"/>
    <w:rsid w:val="00CC7CB9"/>
    <w:rsid w:val="00CF3DEA"/>
    <w:rsid w:val="00D123BE"/>
    <w:rsid w:val="00D13FB3"/>
    <w:rsid w:val="00D15C44"/>
    <w:rsid w:val="00D24B61"/>
    <w:rsid w:val="00D32D95"/>
    <w:rsid w:val="00D72819"/>
    <w:rsid w:val="00D76D9D"/>
    <w:rsid w:val="00D804B8"/>
    <w:rsid w:val="00D80E47"/>
    <w:rsid w:val="00D90428"/>
    <w:rsid w:val="00D946B9"/>
    <w:rsid w:val="00DA40C7"/>
    <w:rsid w:val="00DC1733"/>
    <w:rsid w:val="00DC1D66"/>
    <w:rsid w:val="00DC44FD"/>
    <w:rsid w:val="00DE7997"/>
    <w:rsid w:val="00DF048C"/>
    <w:rsid w:val="00DF0550"/>
    <w:rsid w:val="00DF0B78"/>
    <w:rsid w:val="00E04F4D"/>
    <w:rsid w:val="00E04FA8"/>
    <w:rsid w:val="00E106A4"/>
    <w:rsid w:val="00E156FF"/>
    <w:rsid w:val="00E24616"/>
    <w:rsid w:val="00E32969"/>
    <w:rsid w:val="00E422F4"/>
    <w:rsid w:val="00E46046"/>
    <w:rsid w:val="00E532B6"/>
    <w:rsid w:val="00E64F2D"/>
    <w:rsid w:val="00E71F08"/>
    <w:rsid w:val="00E747B8"/>
    <w:rsid w:val="00E81FE9"/>
    <w:rsid w:val="00E83664"/>
    <w:rsid w:val="00E8624C"/>
    <w:rsid w:val="00E96A26"/>
    <w:rsid w:val="00EB3C38"/>
    <w:rsid w:val="00EB64CD"/>
    <w:rsid w:val="00EB69CF"/>
    <w:rsid w:val="00EC72FE"/>
    <w:rsid w:val="00ED619B"/>
    <w:rsid w:val="00EE5B18"/>
    <w:rsid w:val="00EE5F6D"/>
    <w:rsid w:val="00F0561C"/>
    <w:rsid w:val="00F25ADF"/>
    <w:rsid w:val="00F26972"/>
    <w:rsid w:val="00F43CFE"/>
    <w:rsid w:val="00F46F88"/>
    <w:rsid w:val="00F551B7"/>
    <w:rsid w:val="00F56CA7"/>
    <w:rsid w:val="00F83394"/>
    <w:rsid w:val="00F9188B"/>
    <w:rsid w:val="00F91B1F"/>
    <w:rsid w:val="00FA21FB"/>
    <w:rsid w:val="00FB2C1D"/>
    <w:rsid w:val="00FB51D6"/>
    <w:rsid w:val="00FC4B7D"/>
    <w:rsid w:val="00FD0AC5"/>
    <w:rsid w:val="00FD6DCC"/>
    <w:rsid w:val="00FE10F3"/>
    <w:rsid w:val="00FF685D"/>
    <w:rsid w:val="00FF7C3D"/>
    <w:rsid w:val="00FF7C53"/>
    <w:rsid w:val="0194A7E0"/>
    <w:rsid w:val="03068E20"/>
    <w:rsid w:val="0A212D87"/>
    <w:rsid w:val="18CABDA3"/>
    <w:rsid w:val="1CDC437A"/>
    <w:rsid w:val="1E111F56"/>
    <w:rsid w:val="2597E6D0"/>
    <w:rsid w:val="298034F6"/>
    <w:rsid w:val="2A4794F0"/>
    <w:rsid w:val="2C936045"/>
    <w:rsid w:val="2EAC7F6E"/>
    <w:rsid w:val="2FC451C0"/>
    <w:rsid w:val="31A877C2"/>
    <w:rsid w:val="31F07809"/>
    <w:rsid w:val="33EE7736"/>
    <w:rsid w:val="3D89F3EE"/>
    <w:rsid w:val="3DFA404B"/>
    <w:rsid w:val="45462A1B"/>
    <w:rsid w:val="467B05F7"/>
    <w:rsid w:val="4B252EE2"/>
    <w:rsid w:val="4B6987DB"/>
    <w:rsid w:val="4DBD9653"/>
    <w:rsid w:val="52548B35"/>
    <w:rsid w:val="52E3052E"/>
    <w:rsid w:val="53F05B96"/>
    <w:rsid w:val="57BA5030"/>
    <w:rsid w:val="58F06EC9"/>
    <w:rsid w:val="5F685F93"/>
    <w:rsid w:val="6476F407"/>
    <w:rsid w:val="686EED79"/>
    <w:rsid w:val="69157DF0"/>
    <w:rsid w:val="732C8B6C"/>
    <w:rsid w:val="7888DA81"/>
    <w:rsid w:val="7AC0CFB6"/>
    <w:rsid w:val="7B044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AAD6"/>
  <w15:chartTrackingRefBased/>
  <w15:docId w15:val="{83AF847B-847A-4EB0-8640-0BFA38B4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58A"/>
    <w:pPr>
      <w:ind w:left="720"/>
      <w:contextualSpacing/>
    </w:pPr>
  </w:style>
  <w:style w:type="character" w:styleId="CommentReference">
    <w:name w:val="annotation reference"/>
    <w:basedOn w:val="DefaultParagraphFont"/>
    <w:uiPriority w:val="99"/>
    <w:semiHidden/>
    <w:unhideWhenUsed/>
    <w:rsid w:val="0056358A"/>
    <w:rPr>
      <w:sz w:val="16"/>
      <w:szCs w:val="16"/>
    </w:rPr>
  </w:style>
  <w:style w:type="paragraph" w:styleId="CommentText">
    <w:name w:val="annotation text"/>
    <w:basedOn w:val="Normal"/>
    <w:link w:val="CommentTextChar"/>
    <w:uiPriority w:val="99"/>
    <w:unhideWhenUsed/>
    <w:rsid w:val="0056358A"/>
    <w:pPr>
      <w:spacing w:line="240" w:lineRule="auto"/>
    </w:pPr>
    <w:rPr>
      <w:sz w:val="20"/>
      <w:szCs w:val="20"/>
    </w:rPr>
  </w:style>
  <w:style w:type="character" w:customStyle="1" w:styleId="CommentTextChar">
    <w:name w:val="Comment Text Char"/>
    <w:basedOn w:val="DefaultParagraphFont"/>
    <w:link w:val="CommentText"/>
    <w:uiPriority w:val="99"/>
    <w:rsid w:val="0056358A"/>
    <w:rPr>
      <w:kern w:val="0"/>
      <w:sz w:val="20"/>
      <w:szCs w:val="20"/>
      <w14:ligatures w14:val="none"/>
    </w:rPr>
  </w:style>
  <w:style w:type="character" w:styleId="Hyperlink">
    <w:name w:val="Hyperlink"/>
    <w:basedOn w:val="DefaultParagraphFont"/>
    <w:uiPriority w:val="99"/>
    <w:unhideWhenUsed/>
    <w:rsid w:val="0056358A"/>
    <w:rPr>
      <w:color w:val="0563C1" w:themeColor="hyperlink"/>
      <w:u w:val="single"/>
    </w:rPr>
  </w:style>
  <w:style w:type="paragraph" w:customStyle="1" w:styleId="paragraph">
    <w:name w:val="paragraph"/>
    <w:basedOn w:val="Normal"/>
    <w:rsid w:val="00563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358A"/>
  </w:style>
  <w:style w:type="character" w:customStyle="1" w:styleId="eop">
    <w:name w:val="eop"/>
    <w:basedOn w:val="DefaultParagraphFont"/>
    <w:rsid w:val="0056358A"/>
  </w:style>
  <w:style w:type="paragraph" w:styleId="EndnoteText">
    <w:name w:val="endnote text"/>
    <w:basedOn w:val="Normal"/>
    <w:link w:val="EndnoteTextChar"/>
    <w:uiPriority w:val="99"/>
    <w:semiHidden/>
    <w:unhideWhenUsed/>
    <w:rsid w:val="005635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58A"/>
    <w:rPr>
      <w:kern w:val="0"/>
      <w:sz w:val="20"/>
      <w:szCs w:val="20"/>
      <w14:ligatures w14:val="none"/>
    </w:rPr>
  </w:style>
  <w:style w:type="character" w:styleId="EndnoteReference">
    <w:name w:val="endnote reference"/>
    <w:basedOn w:val="DefaultParagraphFont"/>
    <w:uiPriority w:val="99"/>
    <w:semiHidden/>
    <w:unhideWhenUsed/>
    <w:rsid w:val="0056358A"/>
    <w:rPr>
      <w:vertAlign w:val="superscript"/>
    </w:rPr>
  </w:style>
  <w:style w:type="character" w:styleId="UnresolvedMention">
    <w:name w:val="Unresolved Mention"/>
    <w:basedOn w:val="DefaultParagraphFont"/>
    <w:uiPriority w:val="99"/>
    <w:semiHidden/>
    <w:unhideWhenUsed/>
    <w:rsid w:val="00577B25"/>
    <w:rPr>
      <w:color w:val="605E5C"/>
      <w:shd w:val="clear" w:color="auto" w:fill="E1DFDD"/>
    </w:rPr>
  </w:style>
  <w:style w:type="paragraph" w:styleId="Header">
    <w:name w:val="header"/>
    <w:basedOn w:val="Normal"/>
    <w:link w:val="HeaderChar"/>
    <w:uiPriority w:val="99"/>
    <w:semiHidden/>
    <w:unhideWhenUsed/>
    <w:rsid w:val="00D15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C44"/>
    <w:rPr>
      <w:kern w:val="0"/>
      <w14:ligatures w14:val="none"/>
    </w:rPr>
  </w:style>
  <w:style w:type="paragraph" w:styleId="Footer">
    <w:name w:val="footer"/>
    <w:basedOn w:val="Normal"/>
    <w:link w:val="FooterChar"/>
    <w:uiPriority w:val="99"/>
    <w:semiHidden/>
    <w:unhideWhenUsed/>
    <w:rsid w:val="00D15C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C44"/>
    <w:rPr>
      <w:kern w:val="0"/>
      <w14:ligatures w14:val="none"/>
    </w:rPr>
  </w:style>
  <w:style w:type="paragraph" w:styleId="Revision">
    <w:name w:val="Revision"/>
    <w:hidden/>
    <w:uiPriority w:val="99"/>
    <w:semiHidden/>
    <w:rsid w:val="00D15C44"/>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C4414D"/>
    <w:rPr>
      <w:b/>
      <w:bCs/>
    </w:rPr>
  </w:style>
  <w:style w:type="character" w:customStyle="1" w:styleId="CommentSubjectChar">
    <w:name w:val="Comment Subject Char"/>
    <w:basedOn w:val="CommentTextChar"/>
    <w:link w:val="CommentSubject"/>
    <w:uiPriority w:val="99"/>
    <w:semiHidden/>
    <w:rsid w:val="00C4414D"/>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3499">
      <w:bodyDiv w:val="1"/>
      <w:marLeft w:val="0"/>
      <w:marRight w:val="0"/>
      <w:marTop w:val="0"/>
      <w:marBottom w:val="0"/>
      <w:divBdr>
        <w:top w:val="none" w:sz="0" w:space="0" w:color="auto"/>
        <w:left w:val="none" w:sz="0" w:space="0" w:color="auto"/>
        <w:bottom w:val="none" w:sz="0" w:space="0" w:color="auto"/>
        <w:right w:val="none" w:sz="0" w:space="0" w:color="auto"/>
      </w:divBdr>
    </w:div>
    <w:div w:id="9510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cdc.gov/nchs/nvss/vsrr/drug-overdose-data.htm" TargetMode="External"/><Relationship Id="rId1" Type="http://schemas.openxmlformats.org/officeDocument/2006/relationships/hyperlink" Target="https://www.thenationalcouncil.org/news/statement-from-national-council-for-mental-wellbeing-president-and-ceo-chuck-ingoglia-on-the-new-role-of-virtual-care-in-behavioral-health-report-in-conjunction-with-qualifacts-system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6C0E7E0F704981E365B7DECFC31D" ma:contentTypeVersion="16" ma:contentTypeDescription="Create a new document." ma:contentTypeScope="" ma:versionID="5f3f5bd77754dfc70e84efcd4a3bba2a">
  <xsd:schema xmlns:xsd="http://www.w3.org/2001/XMLSchema" xmlns:xs="http://www.w3.org/2001/XMLSchema" xmlns:p="http://schemas.microsoft.com/office/2006/metadata/properties" xmlns:ns2="28fdab44-d785-40f7-b481-360ec8a3ba9c" xmlns:ns3="353f8bf1-3be0-4f29-b9e3-5ad9eb4dee55" targetNamespace="http://schemas.microsoft.com/office/2006/metadata/properties" ma:root="true" ma:fieldsID="55353c2ab61fbba5661527c4b3f72411" ns2:_="" ns3:_="">
    <xsd:import namespace="28fdab44-d785-40f7-b481-360ec8a3ba9c"/>
    <xsd:import namespace="353f8bf1-3be0-4f29-b9e3-5ad9eb4de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dab44-d785-40f7-b481-360ec8a3b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3f8bf1-3be0-4f29-b9e3-5ad9eb4de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e4d5-8d9b-48ae-a6d2-9c881bd3c322}" ma:internalName="TaxCatchAll" ma:showField="CatchAllData" ma:web="353f8bf1-3be0-4f29-b9e3-5ad9eb4de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fdab44-d785-40f7-b481-360ec8a3ba9c">
      <Terms xmlns="http://schemas.microsoft.com/office/infopath/2007/PartnerControls"/>
    </lcf76f155ced4ddcb4097134ff3c332f>
    <TaxCatchAll xmlns="353f8bf1-3be0-4f29-b9e3-5ad9eb4dee55" xsi:nil="true"/>
  </documentManagement>
</p:properties>
</file>

<file path=customXml/itemProps1.xml><?xml version="1.0" encoding="utf-8"?>
<ds:datastoreItem xmlns:ds="http://schemas.openxmlformats.org/officeDocument/2006/customXml" ds:itemID="{73055FE7-1B4A-496A-BE9E-761A31DCF6B7}">
  <ds:schemaRefs>
    <ds:schemaRef ds:uri="http://schemas.microsoft.com/sharepoint/v3/contenttype/forms"/>
  </ds:schemaRefs>
</ds:datastoreItem>
</file>

<file path=customXml/itemProps2.xml><?xml version="1.0" encoding="utf-8"?>
<ds:datastoreItem xmlns:ds="http://schemas.openxmlformats.org/officeDocument/2006/customXml" ds:itemID="{19974C6B-B8A8-441C-BB1F-EA6E06827EAC}">
  <ds:schemaRefs>
    <ds:schemaRef ds:uri="http://schemas.openxmlformats.org/officeDocument/2006/bibliography"/>
  </ds:schemaRefs>
</ds:datastoreItem>
</file>

<file path=customXml/itemProps3.xml><?xml version="1.0" encoding="utf-8"?>
<ds:datastoreItem xmlns:ds="http://schemas.openxmlformats.org/officeDocument/2006/customXml" ds:itemID="{C2BB175E-E6D6-4126-A14E-09E4C82F7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dab44-d785-40f7-b481-360ec8a3ba9c"/>
    <ds:schemaRef ds:uri="353f8bf1-3be0-4f29-b9e3-5ad9eb4d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D92CF-1459-41E0-8641-6B19794F9ED4}">
  <ds:schemaRefs>
    <ds:schemaRef ds:uri="http://schemas.microsoft.com/office/2006/metadata/properties"/>
    <ds:schemaRef ds:uri="http://schemas.microsoft.com/office/infopath/2007/PartnerControls"/>
    <ds:schemaRef ds:uri="28fdab44-d785-40f7-b481-360ec8a3ba9c"/>
    <ds:schemaRef ds:uri="353f8bf1-3be0-4f29-b9e3-5ad9eb4dee5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Diehl</dc:creator>
  <cp:keywords/>
  <dc:description/>
  <cp:lastModifiedBy>Emily Diehl</cp:lastModifiedBy>
  <cp:revision>2</cp:revision>
  <dcterms:created xsi:type="dcterms:W3CDTF">2023-03-23T13:52:00Z</dcterms:created>
  <dcterms:modified xsi:type="dcterms:W3CDTF">2023-03-23T13:52:00Z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0x010100CEC56C0E7E0F704981E365B7DECFC31D</vt:lpwstr>
  </property>
  <property fmtid="{D5CDD505-2E9C-101B-9397-08002B2CF9AE}" pid="3" name="MediaServiceImageTags">
    <vt:lpwstr/>
  </property>
</Properties>
</file>