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B4D4" w14:textId="77777777" w:rsidR="00EE6177" w:rsidRDefault="00A65111">
      <w:pPr>
        <w:tabs>
          <w:tab w:val="center" w:pos="46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1D2CF239" w14:textId="77777777" w:rsidR="00EE6177" w:rsidRDefault="00EE6177">
      <w:pPr>
        <w:tabs>
          <w:tab w:val="center" w:pos="4680"/>
        </w:tabs>
        <w:rPr>
          <w:b/>
          <w:bCs/>
          <w:sz w:val="40"/>
          <w:szCs w:val="40"/>
        </w:rPr>
      </w:pPr>
    </w:p>
    <w:p w14:paraId="605539F0" w14:textId="77777777" w:rsidR="00EE6177" w:rsidRDefault="00EE6177">
      <w:pPr>
        <w:tabs>
          <w:tab w:val="center" w:pos="4680"/>
        </w:tabs>
        <w:rPr>
          <w:b/>
          <w:bCs/>
          <w:sz w:val="40"/>
          <w:szCs w:val="40"/>
        </w:rPr>
      </w:pPr>
    </w:p>
    <w:p w14:paraId="409CA619" w14:textId="77777777" w:rsidR="00EE6177" w:rsidRDefault="00EE6177">
      <w:pPr>
        <w:tabs>
          <w:tab w:val="center" w:pos="4680"/>
        </w:tabs>
        <w:rPr>
          <w:b/>
          <w:bCs/>
          <w:sz w:val="40"/>
          <w:szCs w:val="40"/>
        </w:rPr>
      </w:pPr>
    </w:p>
    <w:p w14:paraId="549CD4DD" w14:textId="77777777" w:rsidR="00EE6177" w:rsidRDefault="00EE6177">
      <w:pPr>
        <w:tabs>
          <w:tab w:val="center" w:pos="4680"/>
        </w:tabs>
        <w:rPr>
          <w:b/>
          <w:bCs/>
          <w:sz w:val="40"/>
          <w:szCs w:val="40"/>
        </w:rPr>
      </w:pPr>
    </w:p>
    <w:p w14:paraId="1F9EFC93" w14:textId="77777777" w:rsidR="00A65111" w:rsidRDefault="00EE6177">
      <w:pPr>
        <w:tabs>
          <w:tab w:val="center" w:pos="46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A65111">
        <w:rPr>
          <w:b/>
          <w:bCs/>
          <w:sz w:val="40"/>
          <w:szCs w:val="40"/>
        </w:rPr>
        <w:t>1</w:t>
      </w:r>
      <w:r w:rsidR="003C3AFA">
        <w:rPr>
          <w:b/>
          <w:bCs/>
          <w:sz w:val="40"/>
          <w:szCs w:val="40"/>
        </w:rPr>
        <w:t>30</w:t>
      </w:r>
      <w:r w:rsidR="005620C5">
        <w:rPr>
          <w:b/>
          <w:bCs/>
          <w:sz w:val="40"/>
          <w:szCs w:val="40"/>
        </w:rPr>
        <w:t>th</w:t>
      </w:r>
      <w:r w:rsidR="00A65111">
        <w:rPr>
          <w:b/>
          <w:bCs/>
          <w:sz w:val="40"/>
          <w:szCs w:val="40"/>
        </w:rPr>
        <w:t xml:space="preserve"> MAINE LEGISLATURE</w:t>
      </w:r>
    </w:p>
    <w:p w14:paraId="314C6886" w14:textId="77777777" w:rsidR="00A65111" w:rsidRDefault="00A65111">
      <w:pPr>
        <w:rPr>
          <w:b/>
          <w:bCs/>
          <w:sz w:val="30"/>
          <w:szCs w:val="30"/>
        </w:rPr>
      </w:pPr>
    </w:p>
    <w:p w14:paraId="5B529D57" w14:textId="77777777" w:rsidR="00A65111" w:rsidRDefault="00A65111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3C3AFA">
        <w:rPr>
          <w:b/>
          <w:bCs/>
          <w:sz w:val="30"/>
          <w:szCs w:val="30"/>
        </w:rPr>
        <w:t>FIRST</w:t>
      </w:r>
      <w:r>
        <w:rPr>
          <w:b/>
          <w:bCs/>
          <w:sz w:val="30"/>
          <w:szCs w:val="30"/>
        </w:rPr>
        <w:t xml:space="preserve"> REGULAR SESSION-</w:t>
      </w:r>
      <w:r w:rsidR="00A1189C">
        <w:rPr>
          <w:b/>
          <w:bCs/>
          <w:sz w:val="30"/>
          <w:szCs w:val="30"/>
        </w:rPr>
        <w:t>20</w:t>
      </w:r>
      <w:r w:rsidR="003C3AFA">
        <w:rPr>
          <w:b/>
          <w:bCs/>
          <w:sz w:val="30"/>
          <w:szCs w:val="30"/>
        </w:rPr>
        <w:t>2</w:t>
      </w:r>
      <w:r w:rsidR="00AF1CAF">
        <w:rPr>
          <w:b/>
          <w:bCs/>
          <w:sz w:val="30"/>
          <w:szCs w:val="30"/>
        </w:rPr>
        <w:t>1</w:t>
      </w:r>
    </w:p>
    <w:p w14:paraId="0B6B0972" w14:textId="77777777" w:rsidR="00A65111" w:rsidRDefault="00A65111">
      <w:pPr>
        <w:rPr>
          <w:b/>
          <w:bCs/>
          <w:sz w:val="24"/>
        </w:rPr>
      </w:pPr>
    </w:p>
    <w:p w14:paraId="2456110A" w14:textId="77777777" w:rsidR="00A65111" w:rsidRDefault="00A65111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</w:t>
      </w:r>
    </w:p>
    <w:p w14:paraId="14D87012" w14:textId="77777777" w:rsidR="00A65111" w:rsidRDefault="00A65111">
      <w:pPr>
        <w:rPr>
          <w:b/>
          <w:bCs/>
          <w:sz w:val="24"/>
        </w:rPr>
      </w:pPr>
      <w:r>
        <w:rPr>
          <w:b/>
          <w:bCs/>
          <w:sz w:val="24"/>
        </w:rPr>
        <w:t>Legislative Document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No.</w:t>
      </w:r>
    </w:p>
    <w:p w14:paraId="4E50284C" w14:textId="77777777" w:rsidR="00A65111" w:rsidRDefault="00A65111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</w:t>
      </w:r>
    </w:p>
    <w:p w14:paraId="7426C991" w14:textId="77777777" w:rsidR="00A65111" w:rsidRDefault="00A65111">
      <w:pPr>
        <w:rPr>
          <w:sz w:val="24"/>
        </w:rPr>
      </w:pPr>
      <w:r>
        <w:rPr>
          <w:sz w:val="24"/>
        </w:rPr>
        <w:t>S.P.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Senate</w:t>
      </w:r>
    </w:p>
    <w:p w14:paraId="0F0FB757" w14:textId="77777777" w:rsidR="00A65111" w:rsidRDefault="00A65111">
      <w:pPr>
        <w:rPr>
          <w:sz w:val="24"/>
        </w:rPr>
      </w:pPr>
    </w:p>
    <w:p w14:paraId="68F93B3A" w14:textId="18A6197B" w:rsidR="003C3AFA" w:rsidRDefault="003C3AFA" w:rsidP="003C3AF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An Act to Support </w:t>
      </w:r>
      <w:r w:rsidR="004E57EC" w:rsidRPr="00341ACD">
        <w:rPr>
          <w:b/>
          <w:sz w:val="24"/>
        </w:rPr>
        <w:t>Healthc</w:t>
      </w:r>
      <w:r>
        <w:rPr>
          <w:b/>
          <w:sz w:val="24"/>
        </w:rPr>
        <w:t xml:space="preserve">are Providers during Proclamations of </w:t>
      </w:r>
    </w:p>
    <w:p w14:paraId="3C6209DF" w14:textId="3A800133" w:rsidR="00A65111" w:rsidRPr="00EE6177" w:rsidRDefault="003C3AFA" w:rsidP="003C3AF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State </w:t>
      </w:r>
      <w:r w:rsidR="00251A05">
        <w:rPr>
          <w:b/>
          <w:sz w:val="24"/>
        </w:rPr>
        <w:t xml:space="preserve">Public </w:t>
      </w:r>
      <w:r>
        <w:rPr>
          <w:b/>
          <w:sz w:val="24"/>
        </w:rPr>
        <w:t xml:space="preserve">Health </w:t>
      </w:r>
      <w:r w:rsidR="00341ACD">
        <w:rPr>
          <w:b/>
          <w:sz w:val="24"/>
        </w:rPr>
        <w:t xml:space="preserve">Civil </w:t>
      </w:r>
      <w:r>
        <w:rPr>
          <w:b/>
          <w:sz w:val="24"/>
        </w:rPr>
        <w:t>Emergencies</w:t>
      </w:r>
    </w:p>
    <w:p w14:paraId="182175C6" w14:textId="77777777" w:rsidR="00A65111" w:rsidRDefault="00A65111">
      <w:pPr>
        <w:rPr>
          <w:sz w:val="24"/>
        </w:rPr>
      </w:pPr>
    </w:p>
    <w:p w14:paraId="56AFE487" w14:textId="77777777" w:rsidR="00A65111" w:rsidRDefault="00A65111">
      <w:pPr>
        <w:rPr>
          <w:sz w:val="24"/>
        </w:rPr>
      </w:pPr>
    </w:p>
    <w:p w14:paraId="34DEE057" w14:textId="77777777" w:rsidR="00A65111" w:rsidRDefault="00A65111">
      <w:pPr>
        <w:rPr>
          <w:sz w:val="24"/>
        </w:rPr>
      </w:pPr>
    </w:p>
    <w:p w14:paraId="65514684" w14:textId="77777777" w:rsidR="00A65111" w:rsidRDefault="00A6511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A0B18C8" w14:textId="77777777" w:rsidR="00EE6177" w:rsidRDefault="00EE6177">
      <w:pPr>
        <w:rPr>
          <w:sz w:val="24"/>
        </w:rPr>
      </w:pPr>
    </w:p>
    <w:p w14:paraId="16C2A0E7" w14:textId="77777777" w:rsidR="00EE6177" w:rsidRDefault="00EE6177">
      <w:pPr>
        <w:rPr>
          <w:sz w:val="24"/>
        </w:rPr>
      </w:pPr>
    </w:p>
    <w:p w14:paraId="43A3754A" w14:textId="77777777" w:rsidR="00EE6177" w:rsidRDefault="00EE6177">
      <w:pPr>
        <w:rPr>
          <w:sz w:val="24"/>
        </w:rPr>
      </w:pPr>
    </w:p>
    <w:p w14:paraId="70D77AA3" w14:textId="77777777" w:rsidR="00EE6177" w:rsidRDefault="00EE6177">
      <w:pPr>
        <w:rPr>
          <w:sz w:val="24"/>
        </w:rPr>
      </w:pPr>
    </w:p>
    <w:p w14:paraId="1588A87E" w14:textId="77777777" w:rsidR="00EE6177" w:rsidRDefault="00EE6177">
      <w:pPr>
        <w:rPr>
          <w:sz w:val="24"/>
        </w:rPr>
      </w:pPr>
    </w:p>
    <w:p w14:paraId="36B4A531" w14:textId="77777777" w:rsidR="00A65111" w:rsidRDefault="004D423B">
      <w:pPr>
        <w:rPr>
          <w:sz w:val="24"/>
        </w:rPr>
      </w:pPr>
      <w:r>
        <w:rPr>
          <w:sz w:val="24"/>
        </w:rPr>
        <w:t xml:space="preserve">Reference to the Committee on </w:t>
      </w:r>
      <w:r w:rsidR="003C3AFA">
        <w:rPr>
          <w:sz w:val="24"/>
        </w:rPr>
        <w:t xml:space="preserve">Health Coverage, Insurance and Financial Services </w:t>
      </w:r>
      <w:r w:rsidR="00A1189C">
        <w:rPr>
          <w:sz w:val="24"/>
        </w:rPr>
        <w:t>suggested and ordered printed.</w:t>
      </w:r>
    </w:p>
    <w:p w14:paraId="4B322437" w14:textId="77777777" w:rsidR="00A1189C" w:rsidRDefault="00A1189C">
      <w:pPr>
        <w:rPr>
          <w:sz w:val="24"/>
        </w:rPr>
      </w:pPr>
    </w:p>
    <w:p w14:paraId="5DA41C88" w14:textId="77777777" w:rsidR="00A1189C" w:rsidRDefault="00A1189C">
      <w:pPr>
        <w:rPr>
          <w:sz w:val="24"/>
        </w:rPr>
      </w:pPr>
    </w:p>
    <w:p w14:paraId="7BE78357" w14:textId="77777777" w:rsidR="00A1189C" w:rsidRDefault="00A1189C">
      <w:pPr>
        <w:rPr>
          <w:sz w:val="24"/>
        </w:rPr>
      </w:pPr>
    </w:p>
    <w:p w14:paraId="7BA69D0F" w14:textId="77777777" w:rsidR="00A1189C" w:rsidRDefault="00A1189C">
      <w:pPr>
        <w:rPr>
          <w:sz w:val="24"/>
        </w:rPr>
      </w:pPr>
    </w:p>
    <w:p w14:paraId="41E43D6A" w14:textId="77777777" w:rsidR="003C3AFA" w:rsidRDefault="00497BB8" w:rsidP="003C3A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423B">
        <w:rPr>
          <w:sz w:val="24"/>
        </w:rPr>
        <w:tab/>
      </w:r>
      <w:r w:rsidR="003C3AFA">
        <w:rPr>
          <w:sz w:val="24"/>
        </w:rPr>
        <w:t>DAREK M. GRANT</w:t>
      </w:r>
    </w:p>
    <w:p w14:paraId="6C14D3D0" w14:textId="77777777" w:rsidR="00A1189C" w:rsidRDefault="00EE6177" w:rsidP="003C3AFA">
      <w:pPr>
        <w:ind w:left="4320" w:firstLine="720"/>
        <w:rPr>
          <w:sz w:val="24"/>
        </w:rPr>
      </w:pPr>
      <w:r>
        <w:rPr>
          <w:sz w:val="24"/>
        </w:rPr>
        <w:t>Secretary of Senate</w:t>
      </w:r>
    </w:p>
    <w:p w14:paraId="760EB743" w14:textId="77777777" w:rsidR="00A1189C" w:rsidRDefault="00A1189C">
      <w:pPr>
        <w:rPr>
          <w:sz w:val="24"/>
        </w:rPr>
      </w:pPr>
    </w:p>
    <w:p w14:paraId="2D998A57" w14:textId="77777777" w:rsidR="00A1189C" w:rsidRDefault="00A1189C">
      <w:pPr>
        <w:rPr>
          <w:sz w:val="24"/>
        </w:rPr>
      </w:pPr>
    </w:p>
    <w:p w14:paraId="765CEEF7" w14:textId="77777777" w:rsidR="00A1189C" w:rsidRDefault="00A1189C">
      <w:pPr>
        <w:rPr>
          <w:sz w:val="24"/>
        </w:rPr>
      </w:pPr>
    </w:p>
    <w:p w14:paraId="66485EE2" w14:textId="77777777" w:rsidR="00A1189C" w:rsidRDefault="00A1189C">
      <w:pPr>
        <w:rPr>
          <w:sz w:val="24"/>
        </w:rPr>
      </w:pPr>
      <w:r>
        <w:rPr>
          <w:sz w:val="24"/>
        </w:rPr>
        <w:t>Presented by Senator</w:t>
      </w:r>
    </w:p>
    <w:p w14:paraId="016CE656" w14:textId="77777777" w:rsidR="00A1189C" w:rsidRDefault="00A1189C">
      <w:pPr>
        <w:rPr>
          <w:sz w:val="24"/>
        </w:rPr>
      </w:pPr>
      <w:r>
        <w:rPr>
          <w:sz w:val="24"/>
        </w:rPr>
        <w:t>Cosponsored by</w:t>
      </w:r>
    </w:p>
    <w:p w14:paraId="49CD29BD" w14:textId="77777777" w:rsidR="00A65111" w:rsidRDefault="00A65111">
      <w:pPr>
        <w:rPr>
          <w:sz w:val="24"/>
        </w:rPr>
      </w:pPr>
    </w:p>
    <w:p w14:paraId="5EC70FDA" w14:textId="77777777" w:rsidR="00A1189C" w:rsidRDefault="00A1189C">
      <w:pPr>
        <w:rPr>
          <w:sz w:val="24"/>
        </w:rPr>
      </w:pPr>
    </w:p>
    <w:p w14:paraId="15B7FB7C" w14:textId="77777777" w:rsidR="00A1189C" w:rsidRDefault="00A1189C">
      <w:pPr>
        <w:rPr>
          <w:sz w:val="24"/>
        </w:rPr>
      </w:pPr>
    </w:p>
    <w:p w14:paraId="4E377CFE" w14:textId="77777777" w:rsidR="00A1189C" w:rsidRDefault="00A1189C">
      <w:pPr>
        <w:rPr>
          <w:sz w:val="24"/>
        </w:rPr>
      </w:pPr>
    </w:p>
    <w:p w14:paraId="41C2F7E9" w14:textId="77777777" w:rsidR="00A65111" w:rsidRDefault="00A65111">
      <w:pPr>
        <w:rPr>
          <w:b/>
          <w:bCs/>
          <w:sz w:val="24"/>
        </w:rPr>
      </w:pPr>
      <w:r>
        <w:rPr>
          <w:b/>
          <w:bCs/>
          <w:sz w:val="24"/>
        </w:rPr>
        <w:t>Be it enacted by the People of the State of Maine as follows:</w:t>
      </w:r>
    </w:p>
    <w:p w14:paraId="6FAD851A" w14:textId="77777777" w:rsidR="00A65111" w:rsidRDefault="00A65111">
      <w:pPr>
        <w:rPr>
          <w:b/>
          <w:bCs/>
          <w:sz w:val="24"/>
        </w:rPr>
      </w:pPr>
    </w:p>
    <w:p w14:paraId="6ED82004" w14:textId="77777777" w:rsidR="00A65111" w:rsidRDefault="00A65111">
      <w:pPr>
        <w:ind w:firstLine="720"/>
        <w:rPr>
          <w:bCs/>
          <w:sz w:val="24"/>
        </w:rPr>
      </w:pPr>
      <w:r>
        <w:rPr>
          <w:b/>
          <w:bCs/>
          <w:sz w:val="24"/>
        </w:rPr>
        <w:t>Sec.  1.</w:t>
      </w:r>
      <w:r>
        <w:rPr>
          <w:b/>
          <w:bCs/>
          <w:sz w:val="24"/>
        </w:rPr>
        <w:tab/>
      </w:r>
      <w:r w:rsidR="00C74266">
        <w:rPr>
          <w:b/>
          <w:bCs/>
          <w:sz w:val="24"/>
        </w:rPr>
        <w:t xml:space="preserve"> 24 MRSA §2904-A</w:t>
      </w:r>
      <w:r w:rsidR="00C74266">
        <w:rPr>
          <w:bCs/>
          <w:sz w:val="24"/>
        </w:rPr>
        <w:t xml:space="preserve"> is enacted to read:</w:t>
      </w:r>
    </w:p>
    <w:p w14:paraId="7451371B" w14:textId="77777777" w:rsidR="00383D34" w:rsidRDefault="00383D34" w:rsidP="00383D34">
      <w:pPr>
        <w:rPr>
          <w:bCs/>
          <w:sz w:val="24"/>
        </w:rPr>
      </w:pPr>
    </w:p>
    <w:p w14:paraId="6ABBF82C" w14:textId="21155580" w:rsidR="00383D34" w:rsidRPr="00403A3A" w:rsidRDefault="00383D34" w:rsidP="00383D34">
      <w:pPr>
        <w:rPr>
          <w:bCs/>
          <w:sz w:val="24"/>
          <w:u w:val="single"/>
        </w:rPr>
      </w:pPr>
      <w:r w:rsidRPr="00403A3A">
        <w:rPr>
          <w:b/>
          <w:bCs/>
          <w:sz w:val="24"/>
          <w:u w:val="single"/>
        </w:rPr>
        <w:t xml:space="preserve">§2904-A.  </w:t>
      </w:r>
      <w:r w:rsidR="00251A05" w:rsidRPr="00403A3A">
        <w:rPr>
          <w:b/>
          <w:bCs/>
          <w:sz w:val="24"/>
          <w:u w:val="single"/>
        </w:rPr>
        <w:t xml:space="preserve">Public </w:t>
      </w:r>
      <w:r w:rsidRPr="00403A3A">
        <w:rPr>
          <w:b/>
          <w:bCs/>
          <w:sz w:val="24"/>
          <w:u w:val="single"/>
        </w:rPr>
        <w:t>Health</w:t>
      </w:r>
      <w:r w:rsidR="00251A05" w:rsidRPr="00403A3A">
        <w:rPr>
          <w:b/>
          <w:bCs/>
          <w:sz w:val="24"/>
          <w:u w:val="single"/>
        </w:rPr>
        <w:t xml:space="preserve"> </w:t>
      </w:r>
      <w:r w:rsidRPr="00403A3A">
        <w:rPr>
          <w:b/>
          <w:bCs/>
          <w:sz w:val="24"/>
          <w:u w:val="single"/>
        </w:rPr>
        <w:t xml:space="preserve">Emergency </w:t>
      </w:r>
      <w:r w:rsidR="004E57EC">
        <w:rPr>
          <w:b/>
          <w:bCs/>
          <w:sz w:val="24"/>
          <w:u w:val="single"/>
        </w:rPr>
        <w:t>Healthc</w:t>
      </w:r>
      <w:r w:rsidR="00341ACD">
        <w:rPr>
          <w:b/>
          <w:bCs/>
          <w:sz w:val="24"/>
          <w:u w:val="single"/>
        </w:rPr>
        <w:t xml:space="preserve">are </w:t>
      </w:r>
      <w:r w:rsidRPr="00403A3A">
        <w:rPr>
          <w:b/>
          <w:bCs/>
          <w:sz w:val="24"/>
          <w:u w:val="single"/>
        </w:rPr>
        <w:t>Response Liability</w:t>
      </w:r>
    </w:p>
    <w:p w14:paraId="482CA971" w14:textId="77777777" w:rsidR="00383D34" w:rsidRPr="00403A3A" w:rsidRDefault="00383D34" w:rsidP="00383D34">
      <w:pPr>
        <w:rPr>
          <w:bCs/>
          <w:sz w:val="24"/>
          <w:u w:val="single"/>
        </w:rPr>
      </w:pPr>
    </w:p>
    <w:p w14:paraId="746D3EBF" w14:textId="5A777E4E" w:rsidR="00383D34" w:rsidRPr="00403A3A" w:rsidRDefault="00383D34" w:rsidP="00383D34">
      <w:pPr>
        <w:pStyle w:val="ListParagraph"/>
        <w:numPr>
          <w:ilvl w:val="0"/>
          <w:numId w:val="1"/>
        </w:numPr>
        <w:rPr>
          <w:b/>
          <w:bCs/>
          <w:sz w:val="24"/>
          <w:u w:val="single"/>
        </w:rPr>
      </w:pPr>
      <w:r w:rsidRPr="00403A3A">
        <w:rPr>
          <w:b/>
          <w:bCs/>
          <w:sz w:val="24"/>
          <w:u w:val="single"/>
        </w:rPr>
        <w:t>Short Title.</w:t>
      </w:r>
      <w:r w:rsidRPr="00403A3A">
        <w:rPr>
          <w:bCs/>
          <w:sz w:val="24"/>
          <w:u w:val="single"/>
        </w:rPr>
        <w:t xml:space="preserve">  This Act may be referred to as the “Maine </w:t>
      </w:r>
      <w:r w:rsidR="00251A05" w:rsidRPr="00403A3A">
        <w:rPr>
          <w:bCs/>
          <w:sz w:val="24"/>
          <w:u w:val="single"/>
        </w:rPr>
        <w:t xml:space="preserve">Public </w:t>
      </w:r>
      <w:r w:rsidRPr="00403A3A">
        <w:rPr>
          <w:bCs/>
          <w:sz w:val="24"/>
          <w:u w:val="single"/>
        </w:rPr>
        <w:t xml:space="preserve">Health Emergency </w:t>
      </w:r>
      <w:r w:rsidR="00341ACD">
        <w:rPr>
          <w:bCs/>
          <w:sz w:val="24"/>
          <w:u w:val="single"/>
        </w:rPr>
        <w:t>Healthc</w:t>
      </w:r>
      <w:r w:rsidR="00341ACD" w:rsidRPr="00341ACD">
        <w:rPr>
          <w:bCs/>
          <w:strike/>
          <w:sz w:val="24"/>
          <w:u w:val="single"/>
        </w:rPr>
        <w:t>a</w:t>
      </w:r>
      <w:r w:rsidR="00341ACD">
        <w:rPr>
          <w:bCs/>
          <w:sz w:val="24"/>
          <w:u w:val="single"/>
        </w:rPr>
        <w:t>re</w:t>
      </w:r>
      <w:r w:rsidR="002B1828">
        <w:rPr>
          <w:bCs/>
          <w:sz w:val="24"/>
          <w:u w:val="single"/>
        </w:rPr>
        <w:t xml:space="preserve"> </w:t>
      </w:r>
      <w:r w:rsidRPr="00403A3A">
        <w:rPr>
          <w:bCs/>
          <w:sz w:val="24"/>
          <w:u w:val="single"/>
        </w:rPr>
        <w:t>Response Liability Act”.</w:t>
      </w:r>
    </w:p>
    <w:p w14:paraId="1E0D1867" w14:textId="77777777" w:rsidR="00383D34" w:rsidRPr="00403A3A" w:rsidRDefault="00383D34" w:rsidP="00383D34">
      <w:pPr>
        <w:rPr>
          <w:b/>
          <w:bCs/>
          <w:sz w:val="24"/>
          <w:u w:val="single"/>
        </w:rPr>
      </w:pPr>
    </w:p>
    <w:p w14:paraId="776DFA5C" w14:textId="4956D983" w:rsidR="009138F7" w:rsidRPr="0086134F" w:rsidRDefault="00383D34" w:rsidP="00383D34">
      <w:pPr>
        <w:pStyle w:val="ListParagraph"/>
        <w:numPr>
          <w:ilvl w:val="0"/>
          <w:numId w:val="1"/>
        </w:numPr>
        <w:rPr>
          <w:b/>
          <w:bCs/>
          <w:sz w:val="24"/>
          <w:u w:val="single"/>
        </w:rPr>
      </w:pPr>
      <w:r w:rsidRPr="00403A3A">
        <w:rPr>
          <w:b/>
          <w:bCs/>
          <w:sz w:val="24"/>
          <w:u w:val="single"/>
        </w:rPr>
        <w:t xml:space="preserve">Limitation on civil liability upon proclamation of a </w:t>
      </w:r>
      <w:r w:rsidR="00251A05" w:rsidRPr="00403A3A">
        <w:rPr>
          <w:b/>
          <w:bCs/>
          <w:sz w:val="24"/>
          <w:u w:val="single"/>
        </w:rPr>
        <w:t xml:space="preserve">public </w:t>
      </w:r>
      <w:r w:rsidRPr="00403A3A">
        <w:rPr>
          <w:b/>
          <w:bCs/>
          <w:sz w:val="24"/>
          <w:u w:val="single"/>
        </w:rPr>
        <w:t>health related civil emergency.</w:t>
      </w:r>
      <w:r w:rsidRPr="00403A3A">
        <w:rPr>
          <w:bCs/>
          <w:sz w:val="24"/>
          <w:u w:val="single"/>
        </w:rPr>
        <w:t xml:space="preserve">  </w:t>
      </w:r>
      <w:r w:rsidR="00E365FF">
        <w:rPr>
          <w:bCs/>
          <w:sz w:val="24"/>
          <w:u w:val="single"/>
        </w:rPr>
        <w:t xml:space="preserve">Except as provided in subsection </w:t>
      </w:r>
      <w:r w:rsidR="007A05D0">
        <w:rPr>
          <w:bCs/>
          <w:sz w:val="24"/>
          <w:u w:val="single"/>
        </w:rPr>
        <w:t>3</w:t>
      </w:r>
      <w:r w:rsidR="00E365FF">
        <w:rPr>
          <w:bCs/>
          <w:sz w:val="24"/>
          <w:u w:val="single"/>
        </w:rPr>
        <w:t>, u</w:t>
      </w:r>
      <w:r w:rsidRPr="00403A3A">
        <w:rPr>
          <w:bCs/>
          <w:sz w:val="24"/>
          <w:u w:val="single"/>
        </w:rPr>
        <w:t xml:space="preserve">pon the proclamation of </w:t>
      </w:r>
      <w:r w:rsidR="00F56E0E">
        <w:rPr>
          <w:bCs/>
          <w:sz w:val="24"/>
          <w:u w:val="single"/>
        </w:rPr>
        <w:t xml:space="preserve">a </w:t>
      </w:r>
      <w:r w:rsidR="002062EF">
        <w:rPr>
          <w:bCs/>
          <w:sz w:val="24"/>
          <w:u w:val="single"/>
        </w:rPr>
        <w:t>s</w:t>
      </w:r>
      <w:r w:rsidRPr="00403A3A">
        <w:rPr>
          <w:bCs/>
          <w:sz w:val="24"/>
          <w:u w:val="single"/>
        </w:rPr>
        <w:t xml:space="preserve">tate of </w:t>
      </w:r>
      <w:r w:rsidR="002062EF">
        <w:rPr>
          <w:bCs/>
          <w:sz w:val="24"/>
          <w:u w:val="single"/>
        </w:rPr>
        <w:t>e</w:t>
      </w:r>
      <w:r w:rsidRPr="00403A3A">
        <w:rPr>
          <w:bCs/>
          <w:sz w:val="24"/>
          <w:u w:val="single"/>
        </w:rPr>
        <w:t xml:space="preserve">mergency </w:t>
      </w:r>
      <w:r w:rsidR="000819F5" w:rsidRPr="00403A3A">
        <w:rPr>
          <w:bCs/>
          <w:sz w:val="24"/>
          <w:u w:val="single"/>
        </w:rPr>
        <w:t>pursuant to Title 22, section 801, subsection 4-A</w:t>
      </w:r>
      <w:r w:rsidR="00447D66">
        <w:rPr>
          <w:bCs/>
          <w:sz w:val="24"/>
          <w:u w:val="single"/>
        </w:rPr>
        <w:t xml:space="preserve">, </w:t>
      </w:r>
      <w:r w:rsidR="00447D66" w:rsidRPr="00403A3A">
        <w:rPr>
          <w:bCs/>
          <w:sz w:val="24"/>
          <w:u w:val="single"/>
        </w:rPr>
        <w:t>Title 22, section 801, subsection 10</w:t>
      </w:r>
      <w:r w:rsidR="00447D66">
        <w:rPr>
          <w:bCs/>
          <w:sz w:val="24"/>
          <w:u w:val="single"/>
        </w:rPr>
        <w:t>, or Title 37-B, section 703, subsection 2,</w:t>
      </w:r>
      <w:r w:rsidR="00447D66" w:rsidRPr="00403A3A">
        <w:rPr>
          <w:bCs/>
          <w:sz w:val="24"/>
          <w:u w:val="single"/>
        </w:rPr>
        <w:t xml:space="preserve"> </w:t>
      </w:r>
      <w:r w:rsidRPr="00403A3A">
        <w:rPr>
          <w:bCs/>
          <w:sz w:val="24"/>
          <w:u w:val="single"/>
        </w:rPr>
        <w:t>a health</w:t>
      </w:r>
      <w:r w:rsidR="000819F5" w:rsidRPr="00403A3A">
        <w:rPr>
          <w:bCs/>
          <w:sz w:val="24"/>
          <w:u w:val="single"/>
        </w:rPr>
        <w:t xml:space="preserve"> care </w:t>
      </w:r>
      <w:r w:rsidR="00DD4B1F" w:rsidRPr="00403A3A">
        <w:rPr>
          <w:bCs/>
          <w:sz w:val="24"/>
          <w:u w:val="single"/>
        </w:rPr>
        <w:t>p</w:t>
      </w:r>
      <w:r w:rsidR="00DD4B1F">
        <w:rPr>
          <w:bCs/>
          <w:sz w:val="24"/>
          <w:u w:val="single"/>
        </w:rPr>
        <w:t>rofessional</w:t>
      </w:r>
      <w:r w:rsidR="00251A05" w:rsidRPr="00403A3A">
        <w:rPr>
          <w:bCs/>
          <w:sz w:val="24"/>
          <w:u w:val="single"/>
        </w:rPr>
        <w:t xml:space="preserve">, a </w:t>
      </w:r>
      <w:r w:rsidR="000819F5" w:rsidRPr="00403A3A">
        <w:rPr>
          <w:bCs/>
          <w:sz w:val="24"/>
          <w:u w:val="single"/>
        </w:rPr>
        <w:t>health</w:t>
      </w:r>
      <w:r w:rsidR="00E21E0E">
        <w:rPr>
          <w:bCs/>
          <w:sz w:val="24"/>
          <w:u w:val="single"/>
        </w:rPr>
        <w:t xml:space="preserve"> </w:t>
      </w:r>
      <w:r w:rsidR="000819F5" w:rsidRPr="00403A3A">
        <w:rPr>
          <w:bCs/>
          <w:sz w:val="24"/>
          <w:u w:val="single"/>
        </w:rPr>
        <w:t>care facility</w:t>
      </w:r>
      <w:r w:rsidR="00251A05" w:rsidRPr="00403A3A">
        <w:rPr>
          <w:bCs/>
          <w:sz w:val="24"/>
          <w:u w:val="single"/>
        </w:rPr>
        <w:t>, a dentist</w:t>
      </w:r>
      <w:r w:rsidR="002062EF">
        <w:rPr>
          <w:bCs/>
          <w:sz w:val="24"/>
          <w:u w:val="single"/>
        </w:rPr>
        <w:t>,</w:t>
      </w:r>
      <w:r w:rsidR="00251A05" w:rsidRPr="00403A3A">
        <w:rPr>
          <w:bCs/>
          <w:sz w:val="24"/>
          <w:u w:val="single"/>
        </w:rPr>
        <w:t xml:space="preserve"> an emergency medical services person</w:t>
      </w:r>
      <w:r w:rsidR="006516B1">
        <w:rPr>
          <w:bCs/>
          <w:sz w:val="24"/>
          <w:u w:val="single"/>
        </w:rPr>
        <w:t xml:space="preserve">, a pharmacist, </w:t>
      </w:r>
      <w:r w:rsidR="004A25EF">
        <w:rPr>
          <w:bCs/>
          <w:sz w:val="24"/>
          <w:u w:val="single"/>
        </w:rPr>
        <w:t xml:space="preserve">a laboratory, </w:t>
      </w:r>
      <w:r w:rsidR="00C74240">
        <w:rPr>
          <w:bCs/>
          <w:sz w:val="24"/>
          <w:u w:val="single"/>
        </w:rPr>
        <w:t xml:space="preserve">an assisted housing program, </w:t>
      </w:r>
      <w:r w:rsidR="006516B1">
        <w:rPr>
          <w:bCs/>
          <w:sz w:val="24"/>
          <w:u w:val="single"/>
        </w:rPr>
        <w:t>a hospice program or hospice provider or a home health care provider</w:t>
      </w:r>
      <w:r w:rsidR="00251A05" w:rsidRPr="00403A3A">
        <w:rPr>
          <w:bCs/>
          <w:sz w:val="24"/>
          <w:u w:val="single"/>
        </w:rPr>
        <w:t xml:space="preserve"> </w:t>
      </w:r>
      <w:r w:rsidR="000819F5" w:rsidRPr="00403A3A">
        <w:rPr>
          <w:bCs/>
          <w:sz w:val="24"/>
          <w:u w:val="single"/>
        </w:rPr>
        <w:t>is not liable</w:t>
      </w:r>
      <w:r w:rsidR="00F56E0E">
        <w:rPr>
          <w:bCs/>
          <w:sz w:val="24"/>
          <w:u w:val="single"/>
        </w:rPr>
        <w:t xml:space="preserve"> </w:t>
      </w:r>
      <w:r w:rsidR="000819F5" w:rsidRPr="00403A3A">
        <w:rPr>
          <w:bCs/>
          <w:sz w:val="24"/>
          <w:u w:val="single"/>
        </w:rPr>
        <w:t xml:space="preserve">for </w:t>
      </w:r>
      <w:r w:rsidR="000502A2">
        <w:rPr>
          <w:bCs/>
          <w:sz w:val="24"/>
          <w:u w:val="single"/>
        </w:rPr>
        <w:t xml:space="preserve">an </w:t>
      </w:r>
      <w:r w:rsidR="000819F5" w:rsidRPr="00403A3A">
        <w:rPr>
          <w:bCs/>
          <w:sz w:val="24"/>
          <w:u w:val="single"/>
        </w:rPr>
        <w:t xml:space="preserve">injury or death </w:t>
      </w:r>
      <w:r w:rsidR="009138F7">
        <w:rPr>
          <w:bCs/>
          <w:sz w:val="24"/>
          <w:u w:val="single"/>
        </w:rPr>
        <w:t xml:space="preserve">arising from </w:t>
      </w:r>
      <w:r w:rsidR="001772B2">
        <w:rPr>
          <w:bCs/>
          <w:sz w:val="24"/>
          <w:u w:val="single"/>
        </w:rPr>
        <w:t xml:space="preserve">health care </w:t>
      </w:r>
      <w:r w:rsidR="009138F7">
        <w:rPr>
          <w:bCs/>
          <w:sz w:val="24"/>
          <w:u w:val="single"/>
        </w:rPr>
        <w:t xml:space="preserve">services </w:t>
      </w:r>
      <w:r w:rsidR="000502A2">
        <w:rPr>
          <w:bCs/>
          <w:sz w:val="24"/>
          <w:u w:val="single"/>
        </w:rPr>
        <w:t xml:space="preserve">delivered during </w:t>
      </w:r>
      <w:r w:rsidR="002062EF">
        <w:rPr>
          <w:bCs/>
          <w:sz w:val="24"/>
          <w:u w:val="single"/>
        </w:rPr>
        <w:t xml:space="preserve">a state of emergency </w:t>
      </w:r>
      <w:r w:rsidR="000502A2">
        <w:rPr>
          <w:bCs/>
          <w:sz w:val="24"/>
          <w:u w:val="single"/>
        </w:rPr>
        <w:t>provided:</w:t>
      </w:r>
    </w:p>
    <w:p w14:paraId="512A9E8C" w14:textId="77777777" w:rsidR="000502A2" w:rsidRPr="0086134F" w:rsidRDefault="000502A2" w:rsidP="0086134F">
      <w:pPr>
        <w:pStyle w:val="ListParagraph"/>
        <w:rPr>
          <w:b/>
          <w:bCs/>
          <w:sz w:val="24"/>
          <w:u w:val="single"/>
        </w:rPr>
      </w:pPr>
    </w:p>
    <w:p w14:paraId="6B1135E7" w14:textId="1A16848D" w:rsidR="002062EF" w:rsidRPr="0086134F" w:rsidRDefault="000502A2" w:rsidP="0086134F">
      <w:pPr>
        <w:pStyle w:val="ListParagraph"/>
        <w:numPr>
          <w:ilvl w:val="1"/>
          <w:numId w:val="1"/>
        </w:numPr>
        <w:rPr>
          <w:b/>
          <w:bCs/>
          <w:sz w:val="24"/>
          <w:u w:val="single"/>
        </w:rPr>
      </w:pPr>
      <w:r w:rsidRPr="0086134F">
        <w:rPr>
          <w:bCs/>
          <w:sz w:val="24"/>
          <w:u w:val="single"/>
        </w:rPr>
        <w:t xml:space="preserve">The </w:t>
      </w:r>
      <w:r w:rsidR="004E57EC">
        <w:rPr>
          <w:bCs/>
          <w:sz w:val="24"/>
          <w:u w:val="single"/>
        </w:rPr>
        <w:t>health</w:t>
      </w:r>
      <w:r w:rsidR="001772B2">
        <w:rPr>
          <w:bCs/>
          <w:sz w:val="24"/>
          <w:u w:val="single"/>
        </w:rPr>
        <w:t xml:space="preserve"> </w:t>
      </w:r>
      <w:r w:rsidR="002B1828">
        <w:rPr>
          <w:bCs/>
          <w:sz w:val="24"/>
          <w:u w:val="single"/>
        </w:rPr>
        <w:t xml:space="preserve">care </w:t>
      </w:r>
      <w:r w:rsidR="002062EF">
        <w:rPr>
          <w:bCs/>
          <w:sz w:val="24"/>
          <w:u w:val="single"/>
        </w:rPr>
        <w:t>services were impacted by decisions or activities in response to treatment conditions resulting from the state of emergency; and</w:t>
      </w:r>
    </w:p>
    <w:p w14:paraId="0E4DBEFB" w14:textId="4CC0465C" w:rsidR="002062EF" w:rsidRPr="0086134F" w:rsidRDefault="002062EF" w:rsidP="0086134F">
      <w:pPr>
        <w:pStyle w:val="ListParagraph"/>
        <w:numPr>
          <w:ilvl w:val="1"/>
          <w:numId w:val="1"/>
        </w:numPr>
        <w:rPr>
          <w:b/>
          <w:bCs/>
          <w:sz w:val="24"/>
          <w:u w:val="single"/>
        </w:rPr>
      </w:pPr>
      <w:r>
        <w:rPr>
          <w:bCs/>
          <w:sz w:val="24"/>
          <w:u w:val="single"/>
        </w:rPr>
        <w:t xml:space="preserve">The </w:t>
      </w:r>
      <w:r w:rsidR="004E57EC">
        <w:rPr>
          <w:bCs/>
          <w:sz w:val="24"/>
          <w:u w:val="single"/>
        </w:rPr>
        <w:t>health</w:t>
      </w:r>
      <w:r w:rsidR="001772B2">
        <w:rPr>
          <w:bCs/>
          <w:sz w:val="24"/>
          <w:u w:val="single"/>
        </w:rPr>
        <w:t xml:space="preserve"> </w:t>
      </w:r>
      <w:r w:rsidR="002B1828">
        <w:rPr>
          <w:bCs/>
          <w:sz w:val="24"/>
          <w:u w:val="single"/>
        </w:rPr>
        <w:t xml:space="preserve">care </w:t>
      </w:r>
      <w:r>
        <w:rPr>
          <w:bCs/>
          <w:sz w:val="24"/>
          <w:u w:val="single"/>
        </w:rPr>
        <w:t>service was within the scope of the license, registration, or certification</w:t>
      </w:r>
      <w:r w:rsidR="001772B2">
        <w:rPr>
          <w:bCs/>
          <w:sz w:val="24"/>
          <w:u w:val="single"/>
        </w:rPr>
        <w:t>, or other documented qualification</w:t>
      </w:r>
      <w:r>
        <w:rPr>
          <w:bCs/>
          <w:sz w:val="24"/>
          <w:u w:val="single"/>
        </w:rPr>
        <w:t xml:space="preserve"> of the </w:t>
      </w:r>
      <w:r w:rsidRPr="004E57EC">
        <w:rPr>
          <w:bCs/>
          <w:sz w:val="24"/>
          <w:u w:val="single"/>
        </w:rPr>
        <w:t>health</w:t>
      </w:r>
      <w:r w:rsidR="001772B2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care professional</w:t>
      </w:r>
      <w:r w:rsidR="00341ACD">
        <w:rPr>
          <w:bCs/>
          <w:sz w:val="24"/>
          <w:u w:val="single"/>
        </w:rPr>
        <w:t xml:space="preserve">, </w:t>
      </w:r>
      <w:r w:rsidR="001772B2">
        <w:rPr>
          <w:bCs/>
          <w:sz w:val="24"/>
          <w:u w:val="single"/>
        </w:rPr>
        <w:t>health care facility</w:t>
      </w:r>
      <w:r w:rsidR="00B62DFC">
        <w:rPr>
          <w:bCs/>
          <w:sz w:val="24"/>
          <w:u w:val="single"/>
        </w:rPr>
        <w:t xml:space="preserve">, </w:t>
      </w:r>
      <w:r w:rsidR="00341ACD">
        <w:rPr>
          <w:bCs/>
          <w:sz w:val="24"/>
          <w:u w:val="single"/>
        </w:rPr>
        <w:t xml:space="preserve">or </w:t>
      </w:r>
      <w:r w:rsidR="00B62DFC">
        <w:rPr>
          <w:bCs/>
          <w:sz w:val="24"/>
          <w:u w:val="single"/>
        </w:rPr>
        <w:t xml:space="preserve">other person or entity </w:t>
      </w:r>
      <w:r w:rsidR="00257434">
        <w:rPr>
          <w:bCs/>
          <w:sz w:val="24"/>
          <w:u w:val="single"/>
        </w:rPr>
        <w:t>listed in this subsection</w:t>
      </w:r>
      <w:r>
        <w:rPr>
          <w:bCs/>
          <w:sz w:val="24"/>
          <w:u w:val="single"/>
        </w:rPr>
        <w:t>.</w:t>
      </w:r>
    </w:p>
    <w:p w14:paraId="57A45190" w14:textId="77777777" w:rsidR="007A05D0" w:rsidRPr="007A05D0" w:rsidRDefault="007A05D0" w:rsidP="007A05D0">
      <w:pPr>
        <w:pStyle w:val="ListParagraph"/>
        <w:ind w:left="1200"/>
        <w:rPr>
          <w:b/>
          <w:bCs/>
          <w:sz w:val="24"/>
          <w:u w:val="single"/>
        </w:rPr>
      </w:pPr>
    </w:p>
    <w:p w14:paraId="55D9EBDC" w14:textId="77777777" w:rsidR="00383D34" w:rsidRPr="007A05D0" w:rsidRDefault="007A05D0" w:rsidP="007A05D0">
      <w:pPr>
        <w:pStyle w:val="ListParagraph"/>
        <w:numPr>
          <w:ilvl w:val="0"/>
          <w:numId w:val="1"/>
        </w:numPr>
        <w:rPr>
          <w:b/>
          <w:bCs/>
          <w:sz w:val="24"/>
          <w:u w:val="single"/>
        </w:rPr>
      </w:pPr>
      <w:r w:rsidRPr="007A05D0">
        <w:rPr>
          <w:b/>
          <w:bCs/>
          <w:sz w:val="24"/>
          <w:u w:val="single"/>
        </w:rPr>
        <w:t>Exception</w:t>
      </w:r>
      <w:r>
        <w:rPr>
          <w:b/>
          <w:bCs/>
          <w:sz w:val="24"/>
          <w:u w:val="single"/>
        </w:rPr>
        <w:t xml:space="preserve">.  </w:t>
      </w:r>
      <w:r w:rsidRPr="007A05D0">
        <w:rPr>
          <w:bCs/>
          <w:sz w:val="24"/>
          <w:u w:val="single"/>
        </w:rPr>
        <w:t>Section 2 does not apply if</w:t>
      </w:r>
      <w:r>
        <w:rPr>
          <w:bCs/>
          <w:sz w:val="24"/>
          <w:u w:val="single"/>
        </w:rPr>
        <w:t xml:space="preserve"> </w:t>
      </w:r>
      <w:r w:rsidR="000819F5" w:rsidRPr="007A05D0">
        <w:rPr>
          <w:bCs/>
          <w:sz w:val="24"/>
          <w:u w:val="single"/>
        </w:rPr>
        <w:t xml:space="preserve">the injury or death was caused </w:t>
      </w:r>
      <w:r>
        <w:rPr>
          <w:bCs/>
          <w:sz w:val="24"/>
          <w:u w:val="single"/>
        </w:rPr>
        <w:t>by an act or omission constituting willful</w:t>
      </w:r>
      <w:r w:rsidR="000819F5" w:rsidRPr="007A05D0">
        <w:rPr>
          <w:bCs/>
          <w:sz w:val="24"/>
          <w:u w:val="single"/>
        </w:rPr>
        <w:t>, wanton</w:t>
      </w:r>
      <w:r>
        <w:rPr>
          <w:bCs/>
          <w:sz w:val="24"/>
          <w:u w:val="single"/>
        </w:rPr>
        <w:t xml:space="preserve"> or reckless conduct</w:t>
      </w:r>
      <w:r w:rsidR="000819F5" w:rsidRPr="007A05D0">
        <w:rPr>
          <w:bCs/>
          <w:sz w:val="24"/>
          <w:u w:val="single"/>
        </w:rPr>
        <w:t xml:space="preserve"> or by gro</w:t>
      </w:r>
      <w:r>
        <w:rPr>
          <w:bCs/>
          <w:sz w:val="24"/>
          <w:u w:val="single"/>
        </w:rPr>
        <w:t xml:space="preserve">ss negligence of the health care professional </w:t>
      </w:r>
      <w:r w:rsidR="000819F5" w:rsidRPr="007A05D0">
        <w:rPr>
          <w:bCs/>
          <w:sz w:val="24"/>
          <w:u w:val="single"/>
        </w:rPr>
        <w:t>or facility.</w:t>
      </w:r>
    </w:p>
    <w:p w14:paraId="243A3C01" w14:textId="77777777" w:rsidR="00251A05" w:rsidRPr="00403A3A" w:rsidRDefault="00251A05" w:rsidP="00251A05">
      <w:pPr>
        <w:pStyle w:val="ListParagraph"/>
        <w:rPr>
          <w:b/>
          <w:bCs/>
          <w:sz w:val="24"/>
          <w:u w:val="single"/>
        </w:rPr>
      </w:pPr>
    </w:p>
    <w:p w14:paraId="691CA71C" w14:textId="77777777" w:rsidR="00251A05" w:rsidRPr="00403A3A" w:rsidRDefault="00251A05" w:rsidP="00251A05">
      <w:pPr>
        <w:pStyle w:val="ListParagraph"/>
        <w:numPr>
          <w:ilvl w:val="0"/>
          <w:numId w:val="1"/>
        </w:numPr>
        <w:rPr>
          <w:b/>
          <w:bCs/>
          <w:sz w:val="24"/>
          <w:u w:val="single"/>
        </w:rPr>
      </w:pPr>
      <w:r w:rsidRPr="00403A3A">
        <w:rPr>
          <w:b/>
          <w:bCs/>
          <w:sz w:val="24"/>
          <w:u w:val="single"/>
        </w:rPr>
        <w:t>Definitions.</w:t>
      </w:r>
      <w:r w:rsidRPr="00403A3A">
        <w:rPr>
          <w:bCs/>
          <w:sz w:val="24"/>
          <w:u w:val="single"/>
        </w:rPr>
        <w:t xml:space="preserve">  As used in this section, unless the context otherwise indicates, the following terms have the following meanings.</w:t>
      </w:r>
    </w:p>
    <w:p w14:paraId="0B43D895" w14:textId="77777777" w:rsidR="00251A05" w:rsidRPr="00403A3A" w:rsidRDefault="00251A05" w:rsidP="00251A05">
      <w:pPr>
        <w:pStyle w:val="ListParagraph"/>
        <w:rPr>
          <w:b/>
          <w:bCs/>
          <w:sz w:val="24"/>
          <w:u w:val="single"/>
        </w:rPr>
      </w:pPr>
    </w:p>
    <w:p w14:paraId="44D885D3" w14:textId="77777777" w:rsidR="00251A05" w:rsidRPr="00403A3A" w:rsidRDefault="00251A05" w:rsidP="00251A05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 w:rsidRPr="00403A3A">
        <w:rPr>
          <w:bCs/>
          <w:sz w:val="24"/>
          <w:u w:val="single"/>
        </w:rPr>
        <w:t>“Dentist” means a person who practices dentistry according to the provisions of Title 32, section 18371.</w:t>
      </w:r>
    </w:p>
    <w:p w14:paraId="4192C43F" w14:textId="5BA04639" w:rsidR="00251A05" w:rsidRDefault="00251A05" w:rsidP="00251A05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 w:rsidRPr="00403A3A">
        <w:rPr>
          <w:bCs/>
          <w:sz w:val="24"/>
          <w:u w:val="single"/>
        </w:rPr>
        <w:t xml:space="preserve">“Health care </w:t>
      </w:r>
      <w:r w:rsidR="0063237E">
        <w:rPr>
          <w:bCs/>
          <w:sz w:val="24"/>
          <w:u w:val="single"/>
        </w:rPr>
        <w:t>professional</w:t>
      </w:r>
      <w:r w:rsidRPr="00403A3A">
        <w:rPr>
          <w:bCs/>
          <w:sz w:val="24"/>
          <w:u w:val="single"/>
        </w:rPr>
        <w:t xml:space="preserve">” </w:t>
      </w:r>
      <w:r w:rsidR="0063237E">
        <w:rPr>
          <w:bCs/>
          <w:sz w:val="24"/>
          <w:u w:val="single"/>
        </w:rPr>
        <w:t xml:space="preserve">means a </w:t>
      </w:r>
      <w:r w:rsidR="00CB7F4D">
        <w:rPr>
          <w:bCs/>
          <w:sz w:val="24"/>
          <w:u w:val="single"/>
        </w:rPr>
        <w:t xml:space="preserve">“health care practitioner </w:t>
      </w:r>
      <w:r w:rsidRPr="00403A3A">
        <w:rPr>
          <w:bCs/>
          <w:sz w:val="24"/>
          <w:u w:val="single"/>
        </w:rPr>
        <w:t xml:space="preserve">as </w:t>
      </w:r>
      <w:r w:rsidR="00CB7F4D">
        <w:rPr>
          <w:bCs/>
          <w:sz w:val="24"/>
          <w:u w:val="single"/>
        </w:rPr>
        <w:t xml:space="preserve">defined </w:t>
      </w:r>
      <w:r w:rsidRPr="00403A3A">
        <w:rPr>
          <w:bCs/>
          <w:sz w:val="24"/>
          <w:u w:val="single"/>
        </w:rPr>
        <w:t>in section 2502</w:t>
      </w:r>
      <w:r w:rsidR="00CB7F4D">
        <w:rPr>
          <w:bCs/>
          <w:sz w:val="24"/>
          <w:u w:val="single"/>
        </w:rPr>
        <w:t>, subsection 1-A</w:t>
      </w:r>
      <w:r w:rsidR="00F3788B">
        <w:rPr>
          <w:bCs/>
          <w:sz w:val="24"/>
          <w:u w:val="single"/>
        </w:rPr>
        <w:t xml:space="preserve">, and any person licensed, certified or otherwise qualified to </w:t>
      </w:r>
      <w:r w:rsidR="006739F7">
        <w:rPr>
          <w:bCs/>
          <w:sz w:val="24"/>
          <w:u w:val="single"/>
        </w:rPr>
        <w:t>provide direct care as an employee or contractor of any health care facility</w:t>
      </w:r>
      <w:r w:rsidRPr="00403A3A">
        <w:rPr>
          <w:bCs/>
          <w:sz w:val="24"/>
          <w:u w:val="single"/>
        </w:rPr>
        <w:t>.</w:t>
      </w:r>
    </w:p>
    <w:p w14:paraId="367F8180" w14:textId="07E607A3" w:rsidR="006516B1" w:rsidRDefault="006516B1" w:rsidP="00251A05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“Health care facility” means any health care facility licensed pursuant to Title 22, chapter 405</w:t>
      </w:r>
      <w:r w:rsidR="003157CC">
        <w:rPr>
          <w:bCs/>
          <w:sz w:val="24"/>
          <w:u w:val="single"/>
        </w:rPr>
        <w:t>;</w:t>
      </w:r>
      <w:r w:rsidR="009D0718">
        <w:rPr>
          <w:bCs/>
          <w:sz w:val="24"/>
          <w:u w:val="single"/>
        </w:rPr>
        <w:t xml:space="preserve"> any </w:t>
      </w:r>
      <w:r w:rsidR="009D0718" w:rsidRPr="009D0718">
        <w:rPr>
          <w:bCs/>
          <w:sz w:val="24"/>
          <w:u w:val="single"/>
        </w:rPr>
        <w:t>agency or facility for the provision of mental health services</w:t>
      </w:r>
      <w:r w:rsidR="009D0718">
        <w:rPr>
          <w:bCs/>
          <w:sz w:val="24"/>
          <w:u w:val="single"/>
        </w:rPr>
        <w:t xml:space="preserve"> </w:t>
      </w:r>
      <w:r w:rsidR="00FD00A9">
        <w:rPr>
          <w:bCs/>
          <w:sz w:val="24"/>
          <w:u w:val="single"/>
        </w:rPr>
        <w:t>licensed pursuant to Title 34-B, section 1203-A</w:t>
      </w:r>
      <w:r w:rsidR="003157CC">
        <w:rPr>
          <w:bCs/>
          <w:sz w:val="24"/>
          <w:u w:val="single"/>
        </w:rPr>
        <w:t>;</w:t>
      </w:r>
      <w:r w:rsidR="00755EE4">
        <w:rPr>
          <w:bCs/>
          <w:sz w:val="24"/>
          <w:u w:val="single"/>
        </w:rPr>
        <w:t xml:space="preserve"> </w:t>
      </w:r>
      <w:r w:rsidR="006060D1">
        <w:rPr>
          <w:bCs/>
          <w:sz w:val="24"/>
          <w:u w:val="single"/>
        </w:rPr>
        <w:t>any agency or facility providing children’s mental health service</w:t>
      </w:r>
      <w:r w:rsidR="00650906">
        <w:rPr>
          <w:bCs/>
          <w:sz w:val="24"/>
          <w:u w:val="single"/>
        </w:rPr>
        <w:t>s governed by Title 34-B, chapter 15,</w:t>
      </w:r>
      <w:r w:rsidR="006060D1">
        <w:rPr>
          <w:bCs/>
          <w:sz w:val="24"/>
          <w:u w:val="single"/>
        </w:rPr>
        <w:t xml:space="preserve"> </w:t>
      </w:r>
      <w:r w:rsidR="00755EE4">
        <w:rPr>
          <w:bCs/>
          <w:sz w:val="24"/>
          <w:u w:val="single"/>
        </w:rPr>
        <w:t xml:space="preserve">and </w:t>
      </w:r>
      <w:r w:rsidR="00856092">
        <w:rPr>
          <w:bCs/>
          <w:sz w:val="24"/>
          <w:u w:val="single"/>
        </w:rPr>
        <w:t xml:space="preserve">any </w:t>
      </w:r>
      <w:r w:rsidR="00906B85">
        <w:rPr>
          <w:bCs/>
          <w:sz w:val="24"/>
          <w:u w:val="single"/>
        </w:rPr>
        <w:t xml:space="preserve">approved public treatment facility, approved </w:t>
      </w:r>
      <w:r w:rsidR="00A726A1">
        <w:rPr>
          <w:bCs/>
          <w:sz w:val="24"/>
          <w:u w:val="single"/>
        </w:rPr>
        <w:t>treatment</w:t>
      </w:r>
      <w:r w:rsidR="00906B85">
        <w:rPr>
          <w:bCs/>
          <w:sz w:val="24"/>
          <w:u w:val="single"/>
        </w:rPr>
        <w:t xml:space="preserve"> facility, </w:t>
      </w:r>
      <w:r w:rsidR="00A726A1">
        <w:rPr>
          <w:bCs/>
          <w:sz w:val="24"/>
          <w:u w:val="single"/>
        </w:rPr>
        <w:t>or community service provider as defined in Title 5, sec</w:t>
      </w:r>
      <w:r w:rsidR="003157CC">
        <w:rPr>
          <w:bCs/>
          <w:sz w:val="24"/>
          <w:u w:val="single"/>
        </w:rPr>
        <w:t>tion 20003.</w:t>
      </w:r>
    </w:p>
    <w:p w14:paraId="5497D275" w14:textId="2C79A349" w:rsidR="001A165D" w:rsidRDefault="001A165D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 w:rsidRPr="00403A3A">
        <w:rPr>
          <w:bCs/>
          <w:sz w:val="24"/>
          <w:u w:val="single"/>
        </w:rPr>
        <w:t>“Emergency medical services person” means a basic emergency medical services person, as defined in Title 32, section 83, subsection 6, and an advanced emergency medical services person, as defined in Title 32, section 83, subsection</w:t>
      </w:r>
      <w:r w:rsidR="00BD080B">
        <w:rPr>
          <w:bCs/>
          <w:sz w:val="24"/>
          <w:u w:val="single"/>
        </w:rPr>
        <w:t xml:space="preserve"> </w:t>
      </w:r>
      <w:r w:rsidRPr="00403A3A">
        <w:rPr>
          <w:bCs/>
          <w:sz w:val="24"/>
          <w:u w:val="single"/>
        </w:rPr>
        <w:t xml:space="preserve">1. </w:t>
      </w:r>
    </w:p>
    <w:p w14:paraId="5F71ACDE" w14:textId="77777777" w:rsidR="006516B1" w:rsidRDefault="006516B1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lastRenderedPageBreak/>
        <w:t>Pharmacist means</w:t>
      </w:r>
      <w:r w:rsidR="00C74240">
        <w:rPr>
          <w:bCs/>
          <w:sz w:val="24"/>
          <w:u w:val="single"/>
        </w:rPr>
        <w:t xml:space="preserve"> </w:t>
      </w:r>
      <w:r w:rsidR="00C74240" w:rsidRPr="00C74240">
        <w:rPr>
          <w:bCs/>
          <w:sz w:val="24"/>
          <w:u w:val="single"/>
        </w:rPr>
        <w:t>an individual licensed by th</w:t>
      </w:r>
      <w:r w:rsidR="00C74240">
        <w:rPr>
          <w:bCs/>
          <w:sz w:val="24"/>
          <w:u w:val="single"/>
        </w:rPr>
        <w:t>e</w:t>
      </w:r>
      <w:r w:rsidR="00C74240" w:rsidRPr="00C74240">
        <w:rPr>
          <w:bCs/>
          <w:sz w:val="24"/>
          <w:u w:val="single"/>
        </w:rPr>
        <w:t xml:space="preserve"> State </w:t>
      </w:r>
      <w:r w:rsidR="00C74240">
        <w:rPr>
          <w:bCs/>
          <w:sz w:val="24"/>
          <w:u w:val="single"/>
        </w:rPr>
        <w:t xml:space="preserve">of Maine </w:t>
      </w:r>
      <w:r w:rsidR="00C74240" w:rsidRPr="00C74240">
        <w:rPr>
          <w:bCs/>
          <w:sz w:val="24"/>
          <w:u w:val="single"/>
        </w:rPr>
        <w:t>to engage in the practice of pharmacy</w:t>
      </w:r>
      <w:r w:rsidR="00C74240">
        <w:rPr>
          <w:bCs/>
          <w:sz w:val="24"/>
          <w:u w:val="single"/>
        </w:rPr>
        <w:t>.</w:t>
      </w:r>
    </w:p>
    <w:p w14:paraId="27019CBD" w14:textId="77777777" w:rsidR="004A25EF" w:rsidRDefault="004A25EF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Laboratory means any laboratory licensed by the State of Maine pursuant to Title 22, chapter 411.</w:t>
      </w:r>
    </w:p>
    <w:p w14:paraId="03E6BB35" w14:textId="77777777" w:rsidR="00C74240" w:rsidRDefault="00C74240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Assisted housing program means any assisted housing program licensed pursuant to Title 22, chapter 1664.</w:t>
      </w:r>
    </w:p>
    <w:p w14:paraId="45A88ABD" w14:textId="77777777" w:rsidR="006516B1" w:rsidRDefault="006516B1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Hospice program or hospice provider means</w:t>
      </w:r>
      <w:r w:rsidR="00C74240">
        <w:rPr>
          <w:bCs/>
          <w:sz w:val="24"/>
          <w:u w:val="single"/>
        </w:rPr>
        <w:t xml:space="preserve"> any hospice program or hospice provider licensed pursuant to Title 22, chapter 1681.</w:t>
      </w:r>
    </w:p>
    <w:p w14:paraId="6DDF4E1F" w14:textId="77777777" w:rsidR="006516B1" w:rsidRPr="00403A3A" w:rsidRDefault="006516B1" w:rsidP="001A165D">
      <w:pPr>
        <w:pStyle w:val="ListParagraph"/>
        <w:numPr>
          <w:ilvl w:val="0"/>
          <w:numId w:val="2"/>
        </w:numPr>
        <w:rPr>
          <w:bCs/>
          <w:sz w:val="24"/>
          <w:u w:val="single"/>
        </w:rPr>
      </w:pPr>
      <w:r>
        <w:rPr>
          <w:bCs/>
          <w:sz w:val="24"/>
          <w:u w:val="single"/>
        </w:rPr>
        <w:t>Home health care provider means</w:t>
      </w:r>
      <w:r w:rsidR="00C74240">
        <w:rPr>
          <w:bCs/>
          <w:sz w:val="24"/>
          <w:u w:val="single"/>
        </w:rPr>
        <w:t xml:space="preserve"> any home health care provider licensed pursuant to Title 22, chapter 419.</w:t>
      </w:r>
    </w:p>
    <w:p w14:paraId="2AC4F6D2" w14:textId="77777777" w:rsidR="00A65111" w:rsidRDefault="001A165D">
      <w:pPr>
        <w:rPr>
          <w:b/>
          <w:bCs/>
          <w:sz w:val="24"/>
        </w:rPr>
      </w:pPr>
      <w:r w:rsidDel="001A165D">
        <w:rPr>
          <w:bCs/>
          <w:sz w:val="24"/>
          <w:u w:val="single"/>
        </w:rPr>
        <w:t xml:space="preserve"> </w:t>
      </w:r>
    </w:p>
    <w:p w14:paraId="613D9DFE" w14:textId="77777777" w:rsidR="00A65111" w:rsidRDefault="00FA5C73" w:rsidP="00341ACD">
      <w:pPr>
        <w:ind w:firstLine="720"/>
        <w:rPr>
          <w:sz w:val="24"/>
        </w:rPr>
      </w:pPr>
      <w:r w:rsidRPr="00B21DCA">
        <w:rPr>
          <w:b/>
          <w:sz w:val="24"/>
        </w:rPr>
        <w:t>Sec. 2. Retroactivity.</w:t>
      </w:r>
      <w:r w:rsidRPr="00B21DCA">
        <w:rPr>
          <w:sz w:val="24"/>
        </w:rPr>
        <w:t xml:space="preserve"> This Act applies retroactively to </w:t>
      </w:r>
      <w:r>
        <w:rPr>
          <w:sz w:val="24"/>
        </w:rPr>
        <w:t xml:space="preserve">March </w:t>
      </w:r>
      <w:r w:rsidR="00084195">
        <w:rPr>
          <w:sz w:val="24"/>
        </w:rPr>
        <w:t>15</w:t>
      </w:r>
      <w:r>
        <w:rPr>
          <w:sz w:val="24"/>
        </w:rPr>
        <w:t>, 2020</w:t>
      </w:r>
      <w:r w:rsidRPr="00B21DCA">
        <w:rPr>
          <w:sz w:val="24"/>
        </w:rPr>
        <w:t>.</w:t>
      </w:r>
    </w:p>
    <w:p w14:paraId="13E312F6" w14:textId="77777777" w:rsidR="00FA5C73" w:rsidRPr="00FA5C73" w:rsidRDefault="00FA5C73" w:rsidP="00341ACD">
      <w:pPr>
        <w:ind w:firstLine="720"/>
        <w:rPr>
          <w:b/>
          <w:bCs/>
          <w:sz w:val="24"/>
        </w:rPr>
      </w:pPr>
    </w:p>
    <w:p w14:paraId="095B1A3F" w14:textId="77777777" w:rsidR="00A65111" w:rsidRDefault="00A65111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24"/>
        </w:rPr>
        <w:tab/>
      </w:r>
      <w:r>
        <w:rPr>
          <w:b/>
          <w:bCs/>
          <w:sz w:val="30"/>
          <w:szCs w:val="30"/>
        </w:rPr>
        <w:t>SUMMARY</w:t>
      </w:r>
    </w:p>
    <w:p w14:paraId="070AA32E" w14:textId="77777777" w:rsidR="00A65111" w:rsidRDefault="00A65111">
      <w:pPr>
        <w:rPr>
          <w:sz w:val="24"/>
        </w:rPr>
      </w:pPr>
    </w:p>
    <w:p w14:paraId="3E22C958" w14:textId="77777777" w:rsidR="00A65111" w:rsidRDefault="00403A3A">
      <w:pPr>
        <w:rPr>
          <w:sz w:val="24"/>
        </w:rPr>
      </w:pPr>
      <w:r>
        <w:rPr>
          <w:sz w:val="24"/>
        </w:rPr>
        <w:tab/>
        <w:t xml:space="preserve">This bill provides limited civil liability to defined health care </w:t>
      </w:r>
      <w:r w:rsidR="002B1828">
        <w:rPr>
          <w:sz w:val="24"/>
        </w:rPr>
        <w:t>professionals</w:t>
      </w:r>
      <w:r>
        <w:rPr>
          <w:sz w:val="24"/>
        </w:rPr>
        <w:t xml:space="preserve">, health care facilities and emergency medical services persons in the event of a proclaimed public health emergency.  Because these professionals and facilities must stand in harm’s way </w:t>
      </w:r>
      <w:r w:rsidR="00F41D4B">
        <w:rPr>
          <w:sz w:val="24"/>
        </w:rPr>
        <w:t xml:space="preserve">at great personal sacrifice </w:t>
      </w:r>
      <w:r>
        <w:rPr>
          <w:sz w:val="24"/>
        </w:rPr>
        <w:t xml:space="preserve">in such emergencies and make critical healthcare decisions in demanding circumstances when the options for treatment and care may be limited, the provision of limited civil immunity enables such professionals </w:t>
      </w:r>
      <w:r w:rsidR="00F41D4B">
        <w:rPr>
          <w:sz w:val="24"/>
        </w:rPr>
        <w:t xml:space="preserve">some level of support for undertaking such sacrifice. </w:t>
      </w:r>
      <w:r w:rsidR="00084195">
        <w:rPr>
          <w:sz w:val="24"/>
        </w:rPr>
        <w:t>The bill is retroactive to the beginning of state of civil emergency declared by the Chief Executive in response to the Covid-19 pandemic.</w:t>
      </w:r>
      <w:r w:rsidR="00F41D4B">
        <w:rPr>
          <w:sz w:val="24"/>
        </w:rPr>
        <w:t xml:space="preserve"> </w:t>
      </w:r>
    </w:p>
    <w:sectPr w:rsidR="00A65111" w:rsidSect="00EF45B0"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4E99" w14:textId="77777777" w:rsidR="00E65774" w:rsidRDefault="00E65774" w:rsidP="00C74240">
      <w:r>
        <w:separator/>
      </w:r>
    </w:p>
  </w:endnote>
  <w:endnote w:type="continuationSeparator" w:id="0">
    <w:p w14:paraId="6AC470F6" w14:textId="77777777" w:rsidR="00E65774" w:rsidRDefault="00E65774" w:rsidP="00C7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6206" w14:textId="27B400E0" w:rsidR="00C74240" w:rsidRPr="00C74240" w:rsidRDefault="00C74240" w:rsidP="00C7424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7EF8" w14:textId="77777777" w:rsidR="00E65774" w:rsidRDefault="00E65774" w:rsidP="00C7424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B63E18D" w14:textId="77777777" w:rsidR="00E65774" w:rsidRDefault="00E65774" w:rsidP="00C7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87950"/>
    <w:multiLevelType w:val="hybridMultilevel"/>
    <w:tmpl w:val="F8BE27D4"/>
    <w:lvl w:ilvl="0" w:tplc="B5786E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78066CA"/>
    <w:multiLevelType w:val="hybridMultilevel"/>
    <w:tmpl w:val="A5869210"/>
    <w:lvl w:ilvl="0" w:tplc="9D6A5E0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9C"/>
    <w:rsid w:val="000204C4"/>
    <w:rsid w:val="000502A2"/>
    <w:rsid w:val="00077BE8"/>
    <w:rsid w:val="000819F5"/>
    <w:rsid w:val="00084195"/>
    <w:rsid w:val="001772B2"/>
    <w:rsid w:val="001A165D"/>
    <w:rsid w:val="001F3317"/>
    <w:rsid w:val="002062EF"/>
    <w:rsid w:val="00251A05"/>
    <w:rsid w:val="0025684E"/>
    <w:rsid w:val="00257434"/>
    <w:rsid w:val="002B1828"/>
    <w:rsid w:val="003157CC"/>
    <w:rsid w:val="00341ACD"/>
    <w:rsid w:val="00383D34"/>
    <w:rsid w:val="003C3AFA"/>
    <w:rsid w:val="00403A3A"/>
    <w:rsid w:val="00447D66"/>
    <w:rsid w:val="00497BB8"/>
    <w:rsid w:val="004A25EF"/>
    <w:rsid w:val="004C67C4"/>
    <w:rsid w:val="004D423B"/>
    <w:rsid w:val="004E57EC"/>
    <w:rsid w:val="004E6241"/>
    <w:rsid w:val="00515A90"/>
    <w:rsid w:val="005407CF"/>
    <w:rsid w:val="005620C5"/>
    <w:rsid w:val="005D04C0"/>
    <w:rsid w:val="006060D1"/>
    <w:rsid w:val="0063237E"/>
    <w:rsid w:val="006369D7"/>
    <w:rsid w:val="00650906"/>
    <w:rsid w:val="006516B1"/>
    <w:rsid w:val="006739F7"/>
    <w:rsid w:val="006B5502"/>
    <w:rsid w:val="0073462E"/>
    <w:rsid w:val="00755EE4"/>
    <w:rsid w:val="007A05D0"/>
    <w:rsid w:val="00856092"/>
    <w:rsid w:val="0086134F"/>
    <w:rsid w:val="008E7B97"/>
    <w:rsid w:val="00906B85"/>
    <w:rsid w:val="009138F7"/>
    <w:rsid w:val="009201A7"/>
    <w:rsid w:val="0097325A"/>
    <w:rsid w:val="009A7E04"/>
    <w:rsid w:val="009D0718"/>
    <w:rsid w:val="00A1189C"/>
    <w:rsid w:val="00A65111"/>
    <w:rsid w:val="00A726A1"/>
    <w:rsid w:val="00AC047C"/>
    <w:rsid w:val="00AD428D"/>
    <w:rsid w:val="00AF1CAF"/>
    <w:rsid w:val="00B21DCA"/>
    <w:rsid w:val="00B36DEF"/>
    <w:rsid w:val="00B62DFC"/>
    <w:rsid w:val="00BD080B"/>
    <w:rsid w:val="00BE0C69"/>
    <w:rsid w:val="00C74240"/>
    <w:rsid w:val="00C74266"/>
    <w:rsid w:val="00CB7F4D"/>
    <w:rsid w:val="00CF404B"/>
    <w:rsid w:val="00D51EC2"/>
    <w:rsid w:val="00DD4B1F"/>
    <w:rsid w:val="00E21E0E"/>
    <w:rsid w:val="00E365FF"/>
    <w:rsid w:val="00E47653"/>
    <w:rsid w:val="00E65774"/>
    <w:rsid w:val="00EB687C"/>
    <w:rsid w:val="00EE277C"/>
    <w:rsid w:val="00EE6177"/>
    <w:rsid w:val="00EF45B0"/>
    <w:rsid w:val="00F17EA3"/>
    <w:rsid w:val="00F3788B"/>
    <w:rsid w:val="00F41D4B"/>
    <w:rsid w:val="00F56E0E"/>
    <w:rsid w:val="00F65FD7"/>
    <w:rsid w:val="00FA5C73"/>
    <w:rsid w:val="00FB076E"/>
    <w:rsid w:val="00FD00A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E00F5"/>
  <w15:docId w15:val="{035ED2C8-0419-488C-A159-B989339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B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45B0"/>
  </w:style>
  <w:style w:type="paragraph" w:styleId="ListParagraph">
    <w:name w:val="List Paragraph"/>
    <w:basedOn w:val="Normal"/>
    <w:uiPriority w:val="34"/>
    <w:qFormat/>
    <w:rsid w:val="00383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E"/>
    <w:rPr>
      <w:rFonts w:ascii="Segoe UI" w:hAnsi="Segoe UI" w:cs="Segoe UI"/>
      <w:sz w:val="18"/>
      <w:szCs w:val="18"/>
    </w:rPr>
  </w:style>
  <w:style w:type="character" w:customStyle="1" w:styleId="headnote">
    <w:name w:val="headnote"/>
    <w:basedOn w:val="DefaultParagraphFont"/>
    <w:rsid w:val="00F56E0E"/>
  </w:style>
  <w:style w:type="character" w:customStyle="1" w:styleId="letparaid">
    <w:name w:val="letpara_id"/>
    <w:basedOn w:val="DefaultParagraphFont"/>
    <w:rsid w:val="00F56E0E"/>
  </w:style>
  <w:style w:type="paragraph" w:styleId="Header">
    <w:name w:val="header"/>
    <w:basedOn w:val="Normal"/>
    <w:link w:val="HeaderChar"/>
    <w:uiPriority w:val="99"/>
    <w:unhideWhenUsed/>
    <w:rsid w:val="00C74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4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74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40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1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49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08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es%20C%20Soltan\Application%20Data\Microsoft\Templates\Senate%20bill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AEB5A0DDC43B87E789D552B8AA9" ma:contentTypeVersion="11" ma:contentTypeDescription="Create a new document." ma:contentTypeScope="" ma:versionID="9861f5a2468e9a5cf09d2f83440d8f89">
  <xsd:schema xmlns:xsd="http://www.w3.org/2001/XMLSchema" xmlns:xs="http://www.w3.org/2001/XMLSchema" xmlns:p="http://schemas.microsoft.com/office/2006/metadata/properties" xmlns:ns2="62c76286-49e8-4d84-bf0d-8bfb43b35199" targetNamespace="http://schemas.microsoft.com/office/2006/metadata/properties" ma:root="true" ma:fieldsID="dfa6e40f9264357d901419973f827046" ns2:_="">
    <xsd:import namespace="62c76286-49e8-4d84-bf0d-8bfb43b3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6286-49e8-4d84-bf0d-8bfb43b3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2c76286-49e8-4d84-bf0d-8bfb43b351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00F13-3399-452D-A6C6-EBC0CBE4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76286-49e8-4d84-bf0d-8bfb43b3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3758F-ED44-45F8-A3C6-90E313253C56}">
  <ds:schemaRefs>
    <ds:schemaRef ds:uri="http://schemas.microsoft.com/office/2006/metadata/properties"/>
    <ds:schemaRef ds:uri="http://schemas.microsoft.com/office/infopath/2007/PartnerControls"/>
    <ds:schemaRef ds:uri="62c76286-49e8-4d84-bf0d-8bfb43b35199"/>
  </ds:schemaRefs>
</ds:datastoreItem>
</file>

<file path=customXml/itemProps3.xml><?xml version="1.0" encoding="utf-8"?>
<ds:datastoreItem xmlns:ds="http://schemas.openxmlformats.org/officeDocument/2006/customXml" ds:itemID="{93B02B13-BFCD-4348-B6ED-9F7E5EE95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bill template 2003</Template>
  <TotalTime>1</TotalTime>
  <Pages>3</Pages>
  <Words>686</Words>
  <Characters>4010</Characters>
  <Application>Microsoft Office Word</Application>
  <DocSecurity>4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Healthcare Emergency Legislation JAR comments 092220 (00047314).DOCX</vt:lpstr>
    </vt:vector>
  </TitlesOfParts>
  <Company>Verrill &amp; Dana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Healthcare Emergency Legislation JAR comments 092220 (00047314).DOCX</dc:title>
  <dc:subject>00047314.1/font=6</dc:subject>
  <dc:creator>Charles C. Soltan</dc:creator>
  <cp:keywords/>
  <dc:description/>
  <cp:lastModifiedBy>Neal Comstock</cp:lastModifiedBy>
  <cp:revision>2</cp:revision>
  <cp:lastPrinted>2020-09-17T15:23:00Z</cp:lastPrinted>
  <dcterms:created xsi:type="dcterms:W3CDTF">2021-01-21T13:23:00Z</dcterms:created>
  <dcterms:modified xsi:type="dcterms:W3CDTF">2021-01-21T13:23:00Z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0x0101006B61DAEB5A0DDC43B87E789D552B8AA9</vt:lpwstr>
  </property>
</Properties>
</file>