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4B56" w14:textId="77777777" w:rsidR="006A65FA" w:rsidRDefault="004A5670" w:rsidP="002745C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Possible Managed Care Contract Amendments to Seek During COVID-19 </w:t>
      </w:r>
    </w:p>
    <w:p w14:paraId="5B000EE3" w14:textId="77777777" w:rsidR="002146AD" w:rsidRDefault="004A5670" w:rsidP="006A65FA">
      <w:r>
        <w:rPr>
          <w:b/>
          <w:bCs/>
        </w:rPr>
        <w:t>1. Shift Payment Methodology from FFS to Capitation.</w:t>
      </w:r>
      <w:r>
        <w:t xml:space="preserve">  </w:t>
      </w:r>
      <w:r>
        <w:t>Some behavioral health providers receive a fixed amount (per-member, per-month) for the provider’s scope of behavioral health services for a share of the managed care entities enrollees (i.e., for an attributed population).  The fixed payment is made witho</w:t>
      </w:r>
      <w:r>
        <w:t>ut regard to utilization of services, subject to a provider’s capacity, though providers must continue to submit “encounter claims” to managed care</w:t>
      </w:r>
      <w:r>
        <w:t xml:space="preserve"> organizations</w:t>
      </w:r>
      <w:r>
        <w:t xml:space="preserve"> to document services that were furnished to enrollees.</w:t>
      </w:r>
    </w:p>
    <w:p w14:paraId="2C4802D7" w14:textId="77777777" w:rsidR="00AB51E2" w:rsidRDefault="004A5670" w:rsidP="006A65FA">
      <w:r w:rsidRPr="004A0DF1">
        <w:rPr>
          <w:b/>
          <w:bCs/>
        </w:rPr>
        <w:t>2.</w:t>
      </w:r>
      <w:r>
        <w:t xml:space="preserve"> </w:t>
      </w:r>
      <w:r>
        <w:rPr>
          <w:b/>
          <w:bCs/>
        </w:rPr>
        <w:t>Shift Payment Methodology from FFS t</w:t>
      </w:r>
      <w:r>
        <w:rPr>
          <w:b/>
          <w:bCs/>
        </w:rPr>
        <w:t>o Fixed Payment.</w:t>
      </w:r>
      <w:r>
        <w:t xml:space="preserve">  Some behavioral health providers receive a fixed amount of payment to offer </w:t>
      </w:r>
      <w:proofErr w:type="gramStart"/>
      <w:r>
        <w:t>particular services</w:t>
      </w:r>
      <w:proofErr w:type="gramEnd"/>
      <w:r>
        <w:t>, often subject to a capacity limit.  This ensures that the provider receives a guaranteed revenue stream to maintain capacity to render the se</w:t>
      </w:r>
      <w:r>
        <w:t>rvice even if actual utilization varies considerably.</w:t>
      </w:r>
      <w:r>
        <w:t xml:space="preserve">  Providers must continue to submit “encounter claims” to managed care organizations to document services that were furnished to enrollees.</w:t>
      </w:r>
    </w:p>
    <w:p w14:paraId="61A1CCEB" w14:textId="77777777" w:rsidR="00AB51E2" w:rsidRDefault="004A5670" w:rsidP="006A65FA">
      <w:r>
        <w:rPr>
          <w:b/>
          <w:bCs/>
        </w:rPr>
        <w:t xml:space="preserve">3. Request Advance Payment.  </w:t>
      </w:r>
      <w:r>
        <w:t>Some providers have negotiated a l</w:t>
      </w:r>
      <w:r>
        <w:t xml:space="preserve">ump-sum advance during billing challenges or a change in reimbursement methodology.  Although the advance is later reconciled against adjudicated claims (based on the underlying payment methodology), it can ensure </w:t>
      </w:r>
      <w:proofErr w:type="gramStart"/>
      <w:r>
        <w:t>sufficient</w:t>
      </w:r>
      <w:proofErr w:type="gramEnd"/>
      <w:r>
        <w:t xml:space="preserve"> funds remain available for oper</w:t>
      </w:r>
      <w:r>
        <w:t>ations during a time that may otherwise result in denials or delays.  Once funds have been advanced, a behavioral health provider could use the time to develop and propose an alternative payment methodology than the one under the current contract.</w:t>
      </w:r>
    </w:p>
    <w:p w14:paraId="173F32E8" w14:textId="77777777" w:rsidR="002745C0" w:rsidRDefault="004A5670" w:rsidP="002745C0">
      <w:pPr>
        <w:jc w:val="center"/>
        <w:rPr>
          <w:b/>
          <w:bCs/>
        </w:rPr>
      </w:pPr>
    </w:p>
    <w:p w14:paraId="6E90B875" w14:textId="77777777" w:rsidR="002745C0" w:rsidRPr="002745C0" w:rsidRDefault="004A5670" w:rsidP="002745C0"/>
    <w:sectPr w:rsidR="002745C0" w:rsidRPr="00274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70"/>
    <w:rsid w:val="004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1D23"/>
  <w15:docId w15:val="{0A27199C-E54D-4DE7-A62B-06433E3E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Neal Comstock</cp:lastModifiedBy>
  <cp:revision>2</cp:revision>
  <dcterms:created xsi:type="dcterms:W3CDTF">2020-03-23T17:38:00Z</dcterms:created>
  <dcterms:modified xsi:type="dcterms:W3CDTF">2020-03-23T17:38:00Z</dcterms:modified>
</cp:coreProperties>
</file>