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56621" w14:textId="77777777" w:rsidR="00C95E90" w:rsidRDefault="00C95E90" w:rsidP="00C95E90">
      <w:pPr>
        <w:jc w:val="center"/>
        <w:rPr>
          <w:rFonts w:ascii="Bookman Old Style" w:hAnsi="Bookman Old Style"/>
          <w:b/>
          <w:bCs/>
          <w:sz w:val="40"/>
          <w:szCs w:val="40"/>
        </w:rPr>
      </w:pPr>
    </w:p>
    <w:p w14:paraId="539BC5AC" w14:textId="77777777" w:rsidR="00C95E90" w:rsidRDefault="00C95E90" w:rsidP="00C95E90">
      <w:pPr>
        <w:jc w:val="center"/>
        <w:rPr>
          <w:rFonts w:ascii="Bookman Old Style" w:hAnsi="Bookman Old Style"/>
          <w:b/>
          <w:bCs/>
          <w:sz w:val="40"/>
          <w:szCs w:val="40"/>
        </w:rPr>
      </w:pPr>
      <w:r>
        <w:rPr>
          <w:rFonts w:ascii="Bookman Old Style" w:hAnsi="Bookman Old Style"/>
          <w:b/>
          <w:bCs/>
          <w:sz w:val="40"/>
          <w:szCs w:val="40"/>
        </w:rPr>
        <w:t>Bipartisan Safer Communities Act</w:t>
      </w:r>
    </w:p>
    <w:p w14:paraId="19FB2E7B" w14:textId="77777777" w:rsidR="00C95E90" w:rsidRPr="00C95E90" w:rsidRDefault="00C95E90" w:rsidP="00C95E90">
      <w:pPr>
        <w:jc w:val="center"/>
        <w:rPr>
          <w:rFonts w:ascii="Bookman Old Style" w:hAnsi="Bookman Old Style"/>
          <w:bCs/>
          <w:i/>
          <w:sz w:val="32"/>
          <w:szCs w:val="32"/>
        </w:rPr>
      </w:pPr>
      <w:r>
        <w:rPr>
          <w:rFonts w:ascii="Bookman Old Style" w:hAnsi="Bookman Old Style"/>
          <w:bCs/>
          <w:i/>
          <w:sz w:val="32"/>
          <w:szCs w:val="32"/>
        </w:rPr>
        <w:t>Section-By-Section</w:t>
      </w:r>
    </w:p>
    <w:p w14:paraId="5432D3BD" w14:textId="77777777" w:rsidR="00C95E90" w:rsidRPr="006C083C" w:rsidRDefault="00C95E90" w:rsidP="00C95E90">
      <w:pPr>
        <w:jc w:val="center"/>
        <w:rPr>
          <w:rFonts w:ascii="Bookman Old Style" w:hAnsi="Bookman Old Style"/>
          <w:b/>
          <w:bCs/>
          <w:sz w:val="32"/>
          <w:szCs w:val="32"/>
        </w:rPr>
      </w:pPr>
    </w:p>
    <w:p w14:paraId="3CF1D632" w14:textId="77777777" w:rsidR="00240F25" w:rsidRPr="00240F25" w:rsidRDefault="00240F25" w:rsidP="00C95E90">
      <w:pPr>
        <w:rPr>
          <w:rFonts w:ascii="Bookman Old Style" w:hAnsi="Bookman Old Style"/>
          <w:sz w:val="24"/>
          <w:szCs w:val="24"/>
          <w:u w:val="single"/>
        </w:rPr>
      </w:pPr>
      <w:r w:rsidRPr="006C083C">
        <w:rPr>
          <w:rFonts w:ascii="Bookman Old Style" w:hAnsi="Bookman Old Style"/>
          <w:sz w:val="32"/>
          <w:szCs w:val="32"/>
          <w:u w:val="single"/>
        </w:rPr>
        <w:t>Division A—Mental Health and Firearms Provisions</w:t>
      </w:r>
    </w:p>
    <w:p w14:paraId="24B32285" w14:textId="77777777" w:rsidR="00240F25" w:rsidRDefault="00240F25" w:rsidP="00C95E90">
      <w:pPr>
        <w:rPr>
          <w:rFonts w:ascii="Bookman Old Style" w:hAnsi="Bookman Old Style"/>
          <w:b/>
          <w:sz w:val="24"/>
          <w:szCs w:val="24"/>
        </w:rPr>
      </w:pPr>
    </w:p>
    <w:p w14:paraId="07400071" w14:textId="77777777" w:rsidR="00C95E90" w:rsidRPr="00957F29" w:rsidRDefault="00C95E90" w:rsidP="00C95E90">
      <w:pPr>
        <w:rPr>
          <w:rFonts w:ascii="Bookman Old Style" w:hAnsi="Bookman Old Style"/>
          <w:b/>
          <w:sz w:val="24"/>
          <w:szCs w:val="24"/>
        </w:rPr>
      </w:pPr>
      <w:r w:rsidRPr="00957F29">
        <w:rPr>
          <w:rFonts w:ascii="Bookman Old Style" w:hAnsi="Bookman Old Style"/>
          <w:b/>
          <w:sz w:val="24"/>
          <w:szCs w:val="24"/>
        </w:rPr>
        <w:t>Title I – Children and Family Mental Health Services</w:t>
      </w:r>
    </w:p>
    <w:p w14:paraId="3D5DA466" w14:textId="77777777" w:rsidR="00C95E90" w:rsidRDefault="00C95E90" w:rsidP="00C95E90">
      <w:pPr>
        <w:rPr>
          <w:rFonts w:ascii="Bookman Old Style" w:hAnsi="Bookman Old Style"/>
          <w:sz w:val="24"/>
          <w:szCs w:val="24"/>
        </w:rPr>
      </w:pPr>
    </w:p>
    <w:p w14:paraId="4C78C37B" w14:textId="77777777" w:rsidR="00C95E90" w:rsidRDefault="00C95E90" w:rsidP="00C95E90">
      <w:pPr>
        <w:rPr>
          <w:rFonts w:ascii="Bookman Old Style" w:hAnsi="Bookman Old Style"/>
          <w:sz w:val="24"/>
          <w:szCs w:val="24"/>
        </w:rPr>
      </w:pPr>
      <w:r>
        <w:rPr>
          <w:rFonts w:ascii="Bookman Old Style" w:hAnsi="Bookman Old Style"/>
          <w:sz w:val="24"/>
          <w:szCs w:val="24"/>
        </w:rPr>
        <w:t> </w:t>
      </w:r>
    </w:p>
    <w:p w14:paraId="4FF02B23" w14:textId="77777777" w:rsidR="00C95E90" w:rsidRDefault="00C95E90" w:rsidP="00C95E90">
      <w:pPr>
        <w:spacing w:before="20" w:after="20"/>
        <w:rPr>
          <w:rFonts w:ascii="Bookman Old Style" w:hAnsi="Bookman Old Style"/>
          <w:sz w:val="24"/>
          <w:szCs w:val="24"/>
        </w:rPr>
      </w:pPr>
      <w:r>
        <w:rPr>
          <w:rFonts w:ascii="Bookman Old Style" w:hAnsi="Bookman Old Style"/>
          <w:sz w:val="24"/>
          <w:szCs w:val="24"/>
        </w:rPr>
        <w:t>Sec. 1</w:t>
      </w:r>
      <w:r w:rsidR="00957F29">
        <w:rPr>
          <w:rFonts w:ascii="Bookman Old Style" w:hAnsi="Bookman Old Style"/>
          <w:sz w:val="24"/>
          <w:szCs w:val="24"/>
        </w:rPr>
        <w:t>1001</w:t>
      </w:r>
      <w:r>
        <w:rPr>
          <w:rFonts w:ascii="Bookman Old Style" w:hAnsi="Bookman Old Style"/>
          <w:sz w:val="24"/>
          <w:szCs w:val="24"/>
        </w:rPr>
        <w:t>. Expansion of Community Mental Health Services Demonstration Program.</w:t>
      </w:r>
    </w:p>
    <w:p w14:paraId="4BB3B54E" w14:textId="77777777" w:rsidR="00C95E90" w:rsidRDefault="00C95E90" w:rsidP="00C95E90">
      <w:pPr>
        <w:numPr>
          <w:ilvl w:val="0"/>
          <w:numId w:val="1"/>
        </w:numPr>
        <w:spacing w:before="20" w:after="20"/>
        <w:textAlignment w:val="baseline"/>
        <w:rPr>
          <w:rFonts w:ascii="Bookman Old Style" w:eastAsia="Times New Roman" w:hAnsi="Bookman Old Style"/>
          <w:sz w:val="24"/>
          <w:szCs w:val="24"/>
        </w:rPr>
      </w:pPr>
      <w:r>
        <w:rPr>
          <w:rFonts w:ascii="Bookman Old Style" w:eastAsia="Times New Roman" w:hAnsi="Bookman Old Style"/>
          <w:sz w:val="24"/>
          <w:szCs w:val="24"/>
        </w:rPr>
        <w:t>This provision expands the existing Medicaid certified community behavioral health clinic (CCBHC) demonstration program nationwide to increase access to community based behavioral health services. Up to 10 new states may opt into the demonstration every two years.</w:t>
      </w:r>
    </w:p>
    <w:p w14:paraId="483F5823" w14:textId="77777777" w:rsidR="00C95E90" w:rsidRDefault="00C95E90" w:rsidP="00C95E90">
      <w:pPr>
        <w:rPr>
          <w:rFonts w:ascii="Bookman Old Style" w:hAnsi="Bookman Old Style"/>
          <w:sz w:val="24"/>
          <w:szCs w:val="24"/>
        </w:rPr>
      </w:pPr>
      <w:r>
        <w:rPr>
          <w:rFonts w:ascii="Bookman Old Style" w:hAnsi="Bookman Old Style"/>
          <w:sz w:val="24"/>
          <w:szCs w:val="24"/>
        </w:rPr>
        <w:t> </w:t>
      </w:r>
    </w:p>
    <w:p w14:paraId="412518A5" w14:textId="77777777" w:rsidR="00C95E90" w:rsidRDefault="00C95E90" w:rsidP="00C95E90">
      <w:pPr>
        <w:spacing w:before="20" w:after="20"/>
        <w:rPr>
          <w:rFonts w:ascii="Bookman Old Style" w:hAnsi="Bookman Old Style"/>
          <w:sz w:val="24"/>
          <w:szCs w:val="24"/>
        </w:rPr>
      </w:pPr>
      <w:r>
        <w:rPr>
          <w:rFonts w:ascii="Bookman Old Style" w:hAnsi="Bookman Old Style"/>
          <w:sz w:val="24"/>
          <w:szCs w:val="24"/>
        </w:rPr>
        <w:t>Sec.</w:t>
      </w:r>
      <w:r w:rsidR="00957F29">
        <w:rPr>
          <w:rFonts w:ascii="Bookman Old Style" w:hAnsi="Bookman Old Style"/>
          <w:sz w:val="24"/>
          <w:szCs w:val="24"/>
        </w:rPr>
        <w:t>1100</w:t>
      </w:r>
      <w:r>
        <w:rPr>
          <w:rFonts w:ascii="Bookman Old Style" w:hAnsi="Bookman Old Style"/>
          <w:sz w:val="24"/>
          <w:szCs w:val="24"/>
        </w:rPr>
        <w:t>2. Medicaid and Telehealth.</w:t>
      </w:r>
    </w:p>
    <w:p w14:paraId="472F5B4A" w14:textId="77777777" w:rsidR="00C95E90" w:rsidRDefault="00C95E90" w:rsidP="00C95E90">
      <w:pPr>
        <w:numPr>
          <w:ilvl w:val="0"/>
          <w:numId w:val="2"/>
        </w:numPr>
        <w:spacing w:before="20" w:after="20"/>
        <w:textAlignment w:val="baseline"/>
        <w:rPr>
          <w:rFonts w:ascii="Bookman Old Style" w:eastAsia="Times New Roman" w:hAnsi="Bookman Old Style"/>
          <w:sz w:val="24"/>
          <w:szCs w:val="24"/>
        </w:rPr>
      </w:pPr>
      <w:r>
        <w:rPr>
          <w:rFonts w:ascii="Bookman Old Style" w:eastAsia="Times New Roman" w:hAnsi="Bookman Old Style"/>
          <w:sz w:val="24"/>
          <w:szCs w:val="24"/>
        </w:rPr>
        <w:t xml:space="preserve">This provision requires CMS to provide guidance to states on how they can increase access to health care, including mental health services, via telehealth under Medicaid and CHIP. </w:t>
      </w:r>
    </w:p>
    <w:p w14:paraId="7ECE0E8E" w14:textId="77777777" w:rsidR="00C95E90" w:rsidRDefault="00C95E90" w:rsidP="00C95E90">
      <w:pPr>
        <w:numPr>
          <w:ilvl w:val="0"/>
          <w:numId w:val="2"/>
        </w:numPr>
        <w:spacing w:before="20" w:after="20"/>
        <w:textAlignment w:val="baseline"/>
        <w:rPr>
          <w:rFonts w:ascii="Bookman Old Style" w:eastAsia="Times New Roman" w:hAnsi="Bookman Old Style"/>
          <w:sz w:val="24"/>
          <w:szCs w:val="24"/>
        </w:rPr>
      </w:pPr>
      <w:r>
        <w:rPr>
          <w:rFonts w:ascii="Bookman Old Style" w:eastAsia="Times New Roman" w:hAnsi="Bookman Old Style"/>
          <w:sz w:val="24"/>
          <w:szCs w:val="24"/>
        </w:rPr>
        <w:t>Such guidance would, in part, outline strategies related to training and providing resources for providers and patients; include best practices for providing mental health and substance use disorder services via telehealth in schools; include recommendations for measuring telehealth care quality; and include best practices for conveying the availability of telehealth to Medicaid and CHIP enrollees.</w:t>
      </w:r>
    </w:p>
    <w:p w14:paraId="42115446" w14:textId="77777777" w:rsidR="00C95E90" w:rsidRDefault="00C95E90" w:rsidP="00C95E90">
      <w:pPr>
        <w:rPr>
          <w:rFonts w:ascii="Bookman Old Style" w:hAnsi="Bookman Old Style"/>
          <w:sz w:val="24"/>
          <w:szCs w:val="24"/>
        </w:rPr>
      </w:pPr>
      <w:r>
        <w:rPr>
          <w:rFonts w:ascii="Bookman Old Style" w:hAnsi="Bookman Old Style"/>
          <w:sz w:val="24"/>
          <w:szCs w:val="24"/>
        </w:rPr>
        <w:t> </w:t>
      </w:r>
    </w:p>
    <w:p w14:paraId="2DDAD07B" w14:textId="77777777" w:rsidR="00C95E90" w:rsidRDefault="00C95E90" w:rsidP="00C95E90">
      <w:pPr>
        <w:spacing w:before="20" w:after="20"/>
        <w:rPr>
          <w:rFonts w:ascii="Bookman Old Style" w:hAnsi="Bookman Old Style"/>
          <w:sz w:val="24"/>
          <w:szCs w:val="24"/>
        </w:rPr>
      </w:pPr>
      <w:r>
        <w:rPr>
          <w:rFonts w:ascii="Bookman Old Style" w:hAnsi="Bookman Old Style"/>
          <w:sz w:val="24"/>
          <w:szCs w:val="24"/>
        </w:rPr>
        <w:t xml:space="preserve">Sec. </w:t>
      </w:r>
      <w:r w:rsidR="00957F29">
        <w:rPr>
          <w:rFonts w:ascii="Bookman Old Style" w:hAnsi="Bookman Old Style"/>
          <w:sz w:val="24"/>
          <w:szCs w:val="24"/>
        </w:rPr>
        <w:t>1100</w:t>
      </w:r>
      <w:r>
        <w:rPr>
          <w:rFonts w:ascii="Bookman Old Style" w:hAnsi="Bookman Old Style"/>
          <w:sz w:val="24"/>
          <w:szCs w:val="24"/>
        </w:rPr>
        <w:t>3. Supporting Access to Health Care Services in Schools.</w:t>
      </w:r>
    </w:p>
    <w:p w14:paraId="3E7CCA5D" w14:textId="77777777" w:rsidR="00C95E90" w:rsidRDefault="00C95E90" w:rsidP="00C95E90">
      <w:pPr>
        <w:numPr>
          <w:ilvl w:val="0"/>
          <w:numId w:val="3"/>
        </w:numPr>
        <w:spacing w:before="20" w:after="20"/>
        <w:textAlignment w:val="baseline"/>
        <w:rPr>
          <w:rFonts w:ascii="Bookman Old Style" w:eastAsia="Times New Roman" w:hAnsi="Bookman Old Style"/>
          <w:sz w:val="24"/>
          <w:szCs w:val="24"/>
        </w:rPr>
      </w:pPr>
      <w:r>
        <w:rPr>
          <w:rFonts w:ascii="Bookman Old Style" w:eastAsia="Times New Roman" w:hAnsi="Bookman Old Style"/>
          <w:sz w:val="24"/>
          <w:szCs w:val="24"/>
        </w:rPr>
        <w:t xml:space="preserve">This provision improves access to mental health care in schools by requiring CMS to provide states with critical tools and resources to implement, enhance, and expand school-based health programs under Medicaid. </w:t>
      </w:r>
    </w:p>
    <w:p w14:paraId="546C16CB" w14:textId="77777777" w:rsidR="00C95E90" w:rsidRDefault="00C95E90" w:rsidP="00C95E90">
      <w:pPr>
        <w:numPr>
          <w:ilvl w:val="0"/>
          <w:numId w:val="3"/>
        </w:numPr>
        <w:spacing w:before="20" w:after="20"/>
        <w:textAlignment w:val="baseline"/>
        <w:rPr>
          <w:rFonts w:ascii="Bookman Old Style" w:eastAsia="Times New Roman" w:hAnsi="Bookman Old Style"/>
          <w:sz w:val="24"/>
          <w:szCs w:val="24"/>
        </w:rPr>
      </w:pPr>
      <w:r>
        <w:rPr>
          <w:rFonts w:ascii="Bookman Old Style" w:eastAsia="Times New Roman" w:hAnsi="Bookman Old Style"/>
          <w:sz w:val="24"/>
          <w:szCs w:val="24"/>
        </w:rPr>
        <w:t xml:space="preserve">CMS would be required to issue guidance to state Medicaid programs outlining how states may receive Medicaid funding for health services provided in school settings. Such guidance would address, in part, best practices for enrolling school health care providers in Medicaid, facilitating payment and reimbursement, utilizing telehealth, and forming partnerships with community-based behavioral health providers. </w:t>
      </w:r>
    </w:p>
    <w:p w14:paraId="51B34EC0" w14:textId="77777777" w:rsidR="00C95E90" w:rsidRDefault="00C95E90" w:rsidP="00C95E90">
      <w:pPr>
        <w:numPr>
          <w:ilvl w:val="0"/>
          <w:numId w:val="3"/>
        </w:numPr>
        <w:spacing w:before="20" w:after="20"/>
        <w:textAlignment w:val="baseline"/>
        <w:rPr>
          <w:rFonts w:ascii="Bookman Old Style" w:eastAsia="Times New Roman" w:hAnsi="Bookman Old Style"/>
          <w:sz w:val="24"/>
          <w:szCs w:val="24"/>
        </w:rPr>
      </w:pPr>
      <w:r>
        <w:rPr>
          <w:rFonts w:ascii="Bookman Old Style" w:eastAsia="Times New Roman" w:hAnsi="Bookman Old Style"/>
          <w:sz w:val="24"/>
          <w:szCs w:val="24"/>
        </w:rPr>
        <w:t xml:space="preserve">The provision would also establish a technical assistance center at CMS and </w:t>
      </w:r>
      <w:r w:rsidR="002D6F2D">
        <w:rPr>
          <w:rFonts w:ascii="Bookman Old Style" w:eastAsia="Times New Roman" w:hAnsi="Bookman Old Style"/>
          <w:sz w:val="24"/>
          <w:szCs w:val="24"/>
        </w:rPr>
        <w:t>authorizes</w:t>
      </w:r>
      <w:r>
        <w:rPr>
          <w:rFonts w:ascii="Bookman Old Style" w:eastAsia="Times New Roman" w:hAnsi="Bookman Old Style"/>
          <w:sz w:val="24"/>
          <w:szCs w:val="24"/>
        </w:rPr>
        <w:t xml:space="preserve"> $50 million in planning grants to states to help them take advantage of the flexibilities and best practices identified in this Medicaid guidance.</w:t>
      </w:r>
    </w:p>
    <w:p w14:paraId="66E0EFE4" w14:textId="77777777" w:rsidR="00C95E90" w:rsidRDefault="00C95E90" w:rsidP="00C95E90">
      <w:pPr>
        <w:numPr>
          <w:ilvl w:val="0"/>
          <w:numId w:val="3"/>
        </w:numPr>
        <w:spacing w:before="20" w:after="20"/>
        <w:textAlignment w:val="baseline"/>
        <w:rPr>
          <w:rFonts w:ascii="Bookman Old Style" w:eastAsia="Times New Roman" w:hAnsi="Bookman Old Style"/>
          <w:sz w:val="24"/>
          <w:szCs w:val="24"/>
        </w:rPr>
      </w:pPr>
      <w:r>
        <w:rPr>
          <w:rFonts w:ascii="Bookman Old Style" w:eastAsia="Times New Roman" w:hAnsi="Bookman Old Style"/>
          <w:sz w:val="24"/>
          <w:szCs w:val="24"/>
        </w:rPr>
        <w:lastRenderedPageBreak/>
        <w:t>Medicaid is the third largest federal funding stream for school districts, providing much-needed funding to support school health services, including mental health services. However, key federal guidance on how schools can claim Medicaid funding has not been updated in nearly 20 years, making it extremely challenging for school districts, particularly small and rural high-poverty districts, to access this funding.</w:t>
      </w:r>
    </w:p>
    <w:p w14:paraId="5E5FFD5B" w14:textId="77777777" w:rsidR="00C95E90" w:rsidRDefault="00C95E90" w:rsidP="00C95E90">
      <w:pPr>
        <w:rPr>
          <w:rFonts w:ascii="Bookman Old Style" w:hAnsi="Bookman Old Style"/>
          <w:sz w:val="24"/>
          <w:szCs w:val="24"/>
        </w:rPr>
      </w:pPr>
      <w:r>
        <w:rPr>
          <w:rFonts w:ascii="Bookman Old Style" w:hAnsi="Bookman Old Style"/>
          <w:sz w:val="24"/>
          <w:szCs w:val="24"/>
        </w:rPr>
        <w:t> </w:t>
      </w:r>
    </w:p>
    <w:p w14:paraId="23876BBE" w14:textId="77777777" w:rsidR="00C95E90" w:rsidRDefault="00C95E90" w:rsidP="00C95E90">
      <w:pPr>
        <w:spacing w:before="20" w:after="20"/>
        <w:rPr>
          <w:rFonts w:ascii="Bookman Old Style" w:hAnsi="Bookman Old Style"/>
          <w:sz w:val="24"/>
          <w:szCs w:val="24"/>
        </w:rPr>
      </w:pPr>
      <w:r>
        <w:rPr>
          <w:rFonts w:ascii="Bookman Old Style" w:hAnsi="Bookman Old Style"/>
          <w:sz w:val="24"/>
          <w:szCs w:val="24"/>
        </w:rPr>
        <w:t xml:space="preserve">Sec. </w:t>
      </w:r>
      <w:r w:rsidR="00957F29">
        <w:rPr>
          <w:rFonts w:ascii="Bookman Old Style" w:hAnsi="Bookman Old Style"/>
          <w:sz w:val="24"/>
          <w:szCs w:val="24"/>
        </w:rPr>
        <w:t>1100</w:t>
      </w:r>
      <w:r>
        <w:rPr>
          <w:rFonts w:ascii="Bookman Old Style" w:hAnsi="Bookman Old Style"/>
          <w:sz w:val="24"/>
          <w:szCs w:val="24"/>
        </w:rPr>
        <w:t>4. Review of State Implementation of Early and Periodic Screening, Diagnostic, and Treatment Services. </w:t>
      </w:r>
    </w:p>
    <w:p w14:paraId="1D3D3024" w14:textId="77777777" w:rsidR="00C95E90" w:rsidRDefault="00C95E90" w:rsidP="00C95E90">
      <w:pPr>
        <w:numPr>
          <w:ilvl w:val="0"/>
          <w:numId w:val="4"/>
        </w:numPr>
        <w:spacing w:before="20" w:after="20"/>
        <w:textAlignment w:val="baseline"/>
        <w:rPr>
          <w:rFonts w:ascii="Bookman Old Style" w:eastAsia="Times New Roman" w:hAnsi="Bookman Old Style"/>
          <w:sz w:val="24"/>
          <w:szCs w:val="24"/>
        </w:rPr>
      </w:pPr>
      <w:r>
        <w:rPr>
          <w:rFonts w:ascii="Bookman Old Style" w:eastAsia="Times New Roman" w:hAnsi="Bookman Old Style"/>
          <w:sz w:val="24"/>
          <w:szCs w:val="24"/>
        </w:rPr>
        <w:t xml:space="preserve">This provision requires CMS to regularly review states’ implementation of the Medicaid Early and Periodic Screening, Diagnostic and Treatment (EPSDT) benefit, which guarantees comprehensive health coverage for the nearly 40 million children enrolled in Medicaid today. </w:t>
      </w:r>
    </w:p>
    <w:p w14:paraId="4F6C9FEE" w14:textId="77777777" w:rsidR="00C95E90" w:rsidRDefault="00C95E90" w:rsidP="00C95E90">
      <w:pPr>
        <w:numPr>
          <w:ilvl w:val="0"/>
          <w:numId w:val="4"/>
        </w:numPr>
        <w:spacing w:before="20" w:after="20"/>
        <w:textAlignment w:val="baseline"/>
        <w:rPr>
          <w:rFonts w:ascii="Bookman Old Style" w:eastAsia="Times New Roman" w:hAnsi="Bookman Old Style"/>
          <w:sz w:val="24"/>
          <w:szCs w:val="24"/>
        </w:rPr>
      </w:pPr>
      <w:r>
        <w:rPr>
          <w:rFonts w:ascii="Bookman Old Style" w:eastAsia="Times New Roman" w:hAnsi="Bookman Old Style"/>
          <w:sz w:val="24"/>
          <w:szCs w:val="24"/>
        </w:rPr>
        <w:t>Specifically, CMS must identify gaps and deficiencies with respect to state compliance, provide technical assistance to help address these gaps, and issue guidance outlining best practices for the benefit. The provision also requires the Government Accountability Office (GAO) to examine state implementation of EPSDT and CMS oversight efforts. These federal oversight efforts will support better access to mental health care, including preventive, early intervention, and treatment services, for children.  </w:t>
      </w:r>
    </w:p>
    <w:p w14:paraId="154058E9" w14:textId="77777777" w:rsidR="00C95E90" w:rsidRDefault="00C95E90" w:rsidP="00C95E90">
      <w:pPr>
        <w:rPr>
          <w:rFonts w:ascii="Bookman Old Style" w:hAnsi="Bookman Old Style"/>
          <w:sz w:val="24"/>
          <w:szCs w:val="24"/>
        </w:rPr>
      </w:pPr>
    </w:p>
    <w:p w14:paraId="609FA840" w14:textId="77777777" w:rsidR="00C95E90" w:rsidRDefault="00C95E90" w:rsidP="00C95E90">
      <w:pPr>
        <w:spacing w:before="20" w:after="20"/>
        <w:rPr>
          <w:rFonts w:ascii="Bookman Old Style" w:hAnsi="Bookman Old Style"/>
          <w:sz w:val="24"/>
          <w:szCs w:val="24"/>
        </w:rPr>
      </w:pPr>
      <w:r>
        <w:rPr>
          <w:rFonts w:ascii="Bookman Old Style" w:hAnsi="Bookman Old Style"/>
          <w:sz w:val="24"/>
          <w:szCs w:val="24"/>
        </w:rPr>
        <w:t xml:space="preserve">Sec. </w:t>
      </w:r>
      <w:r w:rsidR="00957F29">
        <w:rPr>
          <w:rFonts w:ascii="Bookman Old Style" w:hAnsi="Bookman Old Style"/>
          <w:sz w:val="24"/>
          <w:szCs w:val="24"/>
        </w:rPr>
        <w:t>1100</w:t>
      </w:r>
      <w:r>
        <w:rPr>
          <w:rFonts w:ascii="Bookman Old Style" w:hAnsi="Bookman Old Style"/>
          <w:sz w:val="24"/>
          <w:szCs w:val="24"/>
        </w:rPr>
        <w:t>5. Pediatric Mental Health Care Access program reauthorization.</w:t>
      </w:r>
    </w:p>
    <w:p w14:paraId="680695A2" w14:textId="77777777" w:rsidR="00C95E90" w:rsidRDefault="00C95E90" w:rsidP="00C95E90">
      <w:pPr>
        <w:numPr>
          <w:ilvl w:val="0"/>
          <w:numId w:val="5"/>
        </w:numPr>
        <w:spacing w:before="20" w:after="20"/>
        <w:textAlignment w:val="baseline"/>
        <w:rPr>
          <w:rFonts w:ascii="Bookman Old Style" w:eastAsia="Times New Roman" w:hAnsi="Bookman Old Style"/>
          <w:sz w:val="24"/>
          <w:szCs w:val="24"/>
        </w:rPr>
      </w:pPr>
      <w:r>
        <w:rPr>
          <w:rFonts w:ascii="Bookman Old Style" w:eastAsia="Times New Roman" w:hAnsi="Bookman Old Style"/>
          <w:sz w:val="24"/>
          <w:szCs w:val="24"/>
        </w:rPr>
        <w:t>Reauthorizes the Pediatric Men</w:t>
      </w:r>
      <w:r w:rsidR="00BF007C">
        <w:rPr>
          <w:rFonts w:ascii="Bookman Old Style" w:eastAsia="Times New Roman" w:hAnsi="Bookman Old Style"/>
          <w:sz w:val="24"/>
          <w:szCs w:val="24"/>
        </w:rPr>
        <w:t xml:space="preserve">tal Health Care Access (PMCHA) </w:t>
      </w:r>
      <w:r>
        <w:rPr>
          <w:rFonts w:ascii="Bookman Old Style" w:eastAsia="Times New Roman" w:hAnsi="Bookman Old Style"/>
          <w:sz w:val="24"/>
          <w:szCs w:val="24"/>
        </w:rPr>
        <w:t xml:space="preserve">grant program for five years and expands </w:t>
      </w:r>
      <w:proofErr w:type="spellStart"/>
      <w:r>
        <w:rPr>
          <w:rFonts w:ascii="Bookman Old Style" w:eastAsia="Times New Roman" w:hAnsi="Bookman Old Style"/>
          <w:sz w:val="24"/>
          <w:szCs w:val="24"/>
        </w:rPr>
        <w:t>teleconsults</w:t>
      </w:r>
      <w:proofErr w:type="spellEnd"/>
      <w:r>
        <w:rPr>
          <w:rFonts w:ascii="Bookman Old Style" w:eastAsia="Times New Roman" w:hAnsi="Bookman Old Style"/>
          <w:sz w:val="24"/>
          <w:szCs w:val="24"/>
        </w:rPr>
        <w:t xml:space="preserve"> into emergency departments and schools. </w:t>
      </w:r>
    </w:p>
    <w:p w14:paraId="5FA767C1" w14:textId="77777777" w:rsidR="00C95E90" w:rsidRPr="00957F29" w:rsidRDefault="00C95E90" w:rsidP="00C95E90">
      <w:pPr>
        <w:numPr>
          <w:ilvl w:val="0"/>
          <w:numId w:val="5"/>
        </w:numPr>
        <w:spacing w:before="20" w:after="20"/>
        <w:textAlignment w:val="baseline"/>
        <w:rPr>
          <w:rFonts w:ascii="Bookman Old Style" w:eastAsia="Times New Roman" w:hAnsi="Bookman Old Style"/>
          <w:sz w:val="24"/>
          <w:szCs w:val="24"/>
        </w:rPr>
      </w:pPr>
      <w:r>
        <w:rPr>
          <w:rFonts w:ascii="Bookman Old Style" w:eastAsia="Times New Roman" w:hAnsi="Bookman Old Style"/>
          <w:sz w:val="24"/>
          <w:szCs w:val="24"/>
        </w:rPr>
        <w:t xml:space="preserve">Administered by HRSA, the program supports state or regional networks of pediatric mental health care teams through teleconsultation, training, technical assistance, and care coordination for pediatric primary care providers to diagnose, treat, and refer children with mental health conditions. </w:t>
      </w:r>
    </w:p>
    <w:p w14:paraId="34443347" w14:textId="77777777" w:rsidR="00C95E90" w:rsidRDefault="00C95E90" w:rsidP="00C95E90">
      <w:pPr>
        <w:rPr>
          <w:rFonts w:ascii="Bookman Old Style" w:hAnsi="Bookman Old Style"/>
          <w:sz w:val="24"/>
          <w:szCs w:val="24"/>
        </w:rPr>
      </w:pPr>
    </w:p>
    <w:p w14:paraId="376FEE4E" w14:textId="77777777" w:rsidR="00957F29" w:rsidRDefault="00957F29" w:rsidP="00957F29">
      <w:pPr>
        <w:ind w:left="720"/>
        <w:textAlignment w:val="baseline"/>
        <w:rPr>
          <w:rFonts w:ascii="Bookman Old Style" w:eastAsia="Times New Roman" w:hAnsi="Bookman Old Style"/>
          <w:sz w:val="24"/>
          <w:szCs w:val="24"/>
        </w:rPr>
      </w:pPr>
    </w:p>
    <w:p w14:paraId="5C15F310" w14:textId="77777777" w:rsidR="00240F25" w:rsidRDefault="00240F25" w:rsidP="00C95E90">
      <w:pPr>
        <w:rPr>
          <w:rFonts w:ascii="Bookman Old Style" w:hAnsi="Bookman Old Style"/>
          <w:b/>
          <w:bCs/>
          <w:sz w:val="24"/>
          <w:szCs w:val="24"/>
        </w:rPr>
      </w:pPr>
      <w:r>
        <w:rPr>
          <w:rFonts w:ascii="Bookman Old Style" w:hAnsi="Bookman Old Style"/>
          <w:b/>
          <w:bCs/>
          <w:sz w:val="24"/>
          <w:szCs w:val="24"/>
        </w:rPr>
        <w:t>Title II—Firearms</w:t>
      </w:r>
    </w:p>
    <w:p w14:paraId="511A86A7" w14:textId="77777777" w:rsidR="002D6F2D" w:rsidRDefault="002D6F2D" w:rsidP="00C95E90">
      <w:pPr>
        <w:rPr>
          <w:rFonts w:ascii="Bookman Old Style" w:hAnsi="Bookman Old Style"/>
          <w:b/>
          <w:bCs/>
          <w:sz w:val="24"/>
          <w:szCs w:val="24"/>
        </w:rPr>
      </w:pPr>
    </w:p>
    <w:p w14:paraId="01AC8658" w14:textId="77777777" w:rsidR="00957F29" w:rsidRDefault="00957F29" w:rsidP="00C95E90">
      <w:pPr>
        <w:rPr>
          <w:rFonts w:ascii="Bookman Old Style" w:hAnsi="Bookman Old Style"/>
          <w:b/>
          <w:bCs/>
          <w:sz w:val="24"/>
          <w:szCs w:val="24"/>
        </w:rPr>
      </w:pPr>
    </w:p>
    <w:p w14:paraId="52AA90FE" w14:textId="77777777" w:rsidR="002D6F2D" w:rsidRDefault="002D6F2D" w:rsidP="002D6F2D">
      <w:pPr>
        <w:rPr>
          <w:rFonts w:ascii="Bookman Old Style" w:hAnsi="Bookman Old Style"/>
          <w:b/>
          <w:bCs/>
          <w:sz w:val="24"/>
          <w:szCs w:val="24"/>
        </w:rPr>
      </w:pPr>
      <w:r>
        <w:rPr>
          <w:rFonts w:ascii="Bookman Old Style" w:hAnsi="Bookman Old Style"/>
          <w:b/>
          <w:bCs/>
          <w:sz w:val="24"/>
          <w:szCs w:val="24"/>
        </w:rPr>
        <w:t>Sec. 1</w:t>
      </w:r>
      <w:r w:rsidR="00BF007C">
        <w:rPr>
          <w:rFonts w:ascii="Bookman Old Style" w:hAnsi="Bookman Old Style"/>
          <w:b/>
          <w:bCs/>
          <w:sz w:val="24"/>
          <w:szCs w:val="24"/>
        </w:rPr>
        <w:t>20</w:t>
      </w:r>
      <w:r w:rsidR="00995A95">
        <w:rPr>
          <w:rFonts w:ascii="Bookman Old Style" w:hAnsi="Bookman Old Style"/>
          <w:b/>
          <w:bCs/>
          <w:sz w:val="24"/>
          <w:szCs w:val="24"/>
        </w:rPr>
        <w:t>01</w:t>
      </w:r>
      <w:r>
        <w:rPr>
          <w:rFonts w:ascii="Bookman Old Style" w:hAnsi="Bookman Old Style"/>
          <w:b/>
          <w:bCs/>
          <w:sz w:val="24"/>
          <w:szCs w:val="24"/>
        </w:rPr>
        <w:t>.</w:t>
      </w:r>
      <w:r w:rsidR="00995A95">
        <w:rPr>
          <w:rFonts w:ascii="Bookman Old Style" w:hAnsi="Bookman Old Style"/>
          <w:b/>
          <w:bCs/>
          <w:sz w:val="24"/>
          <w:szCs w:val="24"/>
        </w:rPr>
        <w:t xml:space="preserve"> </w:t>
      </w:r>
      <w:r w:rsidR="00240F25">
        <w:rPr>
          <w:rFonts w:ascii="Bookman Old Style" w:hAnsi="Bookman Old Style"/>
          <w:b/>
          <w:bCs/>
          <w:sz w:val="24"/>
          <w:szCs w:val="24"/>
        </w:rPr>
        <w:t>Juvenile Records</w:t>
      </w:r>
    </w:p>
    <w:p w14:paraId="748954DC" w14:textId="77777777" w:rsidR="00995A95" w:rsidRPr="00995A95" w:rsidRDefault="00995A95" w:rsidP="002D6F2D">
      <w:pPr>
        <w:rPr>
          <w:rFonts w:ascii="Bookman Old Style" w:hAnsi="Bookman Old Style"/>
          <w:b/>
          <w:bCs/>
          <w:sz w:val="24"/>
          <w:szCs w:val="24"/>
        </w:rPr>
      </w:pPr>
    </w:p>
    <w:p w14:paraId="5389850A" w14:textId="77777777" w:rsidR="002D6F2D" w:rsidRDefault="002D6F2D" w:rsidP="002D6F2D">
      <w:pPr>
        <w:pStyle w:val="ListParagraph"/>
        <w:numPr>
          <w:ilvl w:val="0"/>
          <w:numId w:val="14"/>
        </w:numPr>
        <w:rPr>
          <w:rFonts w:ascii="Bookman Old Style" w:hAnsi="Bookman Old Style"/>
          <w:sz w:val="24"/>
          <w:szCs w:val="24"/>
        </w:rPr>
      </w:pPr>
      <w:r>
        <w:rPr>
          <w:rFonts w:ascii="Bookman Old Style" w:hAnsi="Bookman Old Style"/>
          <w:sz w:val="24"/>
          <w:szCs w:val="24"/>
        </w:rPr>
        <w:t>Clarifies current law that a person is prohibited from purchasing a firearm if their juvenile record meets the existing criteria for a prohibited firearms purchaser under 18 U.S. 922(d). Improves current law so that mental health adjudication records for persons under 16 years old do not disqualify them from purchasing a firearm.</w:t>
      </w:r>
    </w:p>
    <w:p w14:paraId="5DC1BA0E" w14:textId="77777777" w:rsidR="002D6F2D" w:rsidRDefault="002D6F2D" w:rsidP="002D6F2D">
      <w:pPr>
        <w:rPr>
          <w:rFonts w:ascii="Bookman Old Style" w:hAnsi="Bookman Old Style"/>
          <w:sz w:val="24"/>
          <w:szCs w:val="24"/>
        </w:rPr>
      </w:pPr>
    </w:p>
    <w:p w14:paraId="6C0B9ABA" w14:textId="77777777" w:rsidR="002D6F2D" w:rsidRDefault="002D6F2D" w:rsidP="002D6F2D">
      <w:pPr>
        <w:pStyle w:val="ListParagraph"/>
        <w:numPr>
          <w:ilvl w:val="0"/>
          <w:numId w:val="14"/>
        </w:numPr>
        <w:rPr>
          <w:rFonts w:ascii="Bookman Old Style" w:hAnsi="Bookman Old Style"/>
          <w:sz w:val="24"/>
          <w:szCs w:val="24"/>
        </w:rPr>
      </w:pPr>
      <w:r>
        <w:rPr>
          <w:rFonts w:ascii="Bookman Old Style" w:hAnsi="Bookman Old Style"/>
          <w:sz w:val="24"/>
          <w:szCs w:val="24"/>
        </w:rPr>
        <w:lastRenderedPageBreak/>
        <w:t xml:space="preserve">For firearms purchasers under the age of 21, keeps current law requiring completion of NICS background investigation within three business days, but requires NICS to immediately check with appropriate state records repositories and local law enforcement solely for the purpose of determining whether the individual has a juvenile record that would disqualify them from purchasing firearms. Does not change current law with respect to individuals 21 and over. </w:t>
      </w:r>
    </w:p>
    <w:p w14:paraId="143BC424" w14:textId="77777777" w:rsidR="002D6F2D" w:rsidRDefault="002D6F2D" w:rsidP="002D6F2D">
      <w:pPr>
        <w:pStyle w:val="ListParagraph"/>
        <w:rPr>
          <w:rFonts w:ascii="Bookman Old Style" w:hAnsi="Bookman Old Style"/>
          <w:sz w:val="24"/>
          <w:szCs w:val="24"/>
        </w:rPr>
      </w:pPr>
    </w:p>
    <w:p w14:paraId="53E04236" w14:textId="77777777" w:rsidR="002D6F2D" w:rsidRDefault="002D6F2D" w:rsidP="002D6F2D">
      <w:pPr>
        <w:pStyle w:val="ListParagraph"/>
        <w:numPr>
          <w:ilvl w:val="0"/>
          <w:numId w:val="14"/>
        </w:numPr>
        <w:rPr>
          <w:rFonts w:ascii="Bookman Old Style" w:hAnsi="Bookman Old Style"/>
          <w:sz w:val="24"/>
          <w:szCs w:val="24"/>
        </w:rPr>
      </w:pPr>
      <w:r>
        <w:rPr>
          <w:rFonts w:ascii="Bookman Old Style" w:hAnsi="Bookman Old Style"/>
          <w:sz w:val="24"/>
          <w:szCs w:val="24"/>
        </w:rPr>
        <w:t xml:space="preserve">If NICS identifies no disqualifying or possibly disqualifying juvenile records, the firearms transfer would occur under current law. If NICS identifies a disqualifying juvenile record, the transfer would be denied under current law. If NICS identified a possibly disqualifying juvenile record, the FBI would be required to investigate that record immediately and to complete that investigation within three days under current law. If the FBI shows cause for needing more time to investigate the nature and substance of the possibly disqualifying juvenile record, they would be allowed no more than seven additional business days to complete the investigation. If the investigation is not completed within this total time of ten business days, the firearms transfer would be required to occur. </w:t>
      </w:r>
    </w:p>
    <w:p w14:paraId="5D59071A" w14:textId="77777777" w:rsidR="002D6F2D" w:rsidRDefault="002D6F2D" w:rsidP="002D6F2D">
      <w:pPr>
        <w:pStyle w:val="ListParagraph"/>
        <w:rPr>
          <w:rFonts w:ascii="Bookman Old Style" w:hAnsi="Bookman Old Style"/>
          <w:sz w:val="24"/>
          <w:szCs w:val="24"/>
        </w:rPr>
      </w:pPr>
    </w:p>
    <w:p w14:paraId="3B726975" w14:textId="77777777" w:rsidR="002D6F2D" w:rsidRDefault="002D6F2D" w:rsidP="002D6F2D">
      <w:pPr>
        <w:pStyle w:val="ListParagraph"/>
        <w:numPr>
          <w:ilvl w:val="0"/>
          <w:numId w:val="14"/>
        </w:numPr>
        <w:rPr>
          <w:rFonts w:ascii="Bookman Old Style" w:hAnsi="Bookman Old Style"/>
          <w:sz w:val="24"/>
          <w:szCs w:val="24"/>
        </w:rPr>
      </w:pPr>
      <w:r>
        <w:rPr>
          <w:rFonts w:ascii="Bookman Old Style" w:hAnsi="Bookman Old Style"/>
          <w:sz w:val="24"/>
          <w:szCs w:val="24"/>
        </w:rPr>
        <w:t xml:space="preserve">There are no mandatory or de-facto waiting periods. All persons under 21 are allowed to purchase firearms and receive them immediately if they have no disqualifying or possibly disqualifying juvenile records. </w:t>
      </w:r>
    </w:p>
    <w:p w14:paraId="2F446E65" w14:textId="77777777" w:rsidR="002D6F2D" w:rsidRDefault="002D6F2D" w:rsidP="002D6F2D">
      <w:pPr>
        <w:pStyle w:val="ListParagraph"/>
        <w:rPr>
          <w:rFonts w:ascii="Bookman Old Style" w:hAnsi="Bookman Old Style"/>
          <w:sz w:val="24"/>
          <w:szCs w:val="24"/>
        </w:rPr>
      </w:pPr>
    </w:p>
    <w:p w14:paraId="6F4BD7B4" w14:textId="77777777" w:rsidR="002D6F2D" w:rsidRDefault="002D6F2D" w:rsidP="002D6F2D">
      <w:pPr>
        <w:pStyle w:val="ListParagraph"/>
        <w:numPr>
          <w:ilvl w:val="0"/>
          <w:numId w:val="14"/>
        </w:numPr>
        <w:rPr>
          <w:rFonts w:ascii="Bookman Old Style" w:hAnsi="Bookman Old Style"/>
          <w:sz w:val="24"/>
          <w:szCs w:val="24"/>
        </w:rPr>
      </w:pPr>
      <w:r>
        <w:rPr>
          <w:rFonts w:ascii="Bookman Old Style" w:hAnsi="Bookman Old Style"/>
          <w:sz w:val="24"/>
          <w:szCs w:val="24"/>
        </w:rPr>
        <w:t>To prevent false denials and provide appropriate government oversight, requires an annual report to Congress on the progress made by NICS to audit and remove outdated, expired, and erroneous records. This provision applies to all records shared with NICS, not just juvenile records.</w:t>
      </w:r>
    </w:p>
    <w:p w14:paraId="4B9F0B60" w14:textId="77777777" w:rsidR="002D6F2D" w:rsidRDefault="002D6F2D" w:rsidP="002D6F2D">
      <w:pPr>
        <w:rPr>
          <w:rFonts w:ascii="Bookman Old Style" w:hAnsi="Bookman Old Style"/>
          <w:sz w:val="24"/>
          <w:szCs w:val="24"/>
        </w:rPr>
      </w:pPr>
    </w:p>
    <w:p w14:paraId="2F844CCD" w14:textId="77777777" w:rsidR="002D6F2D" w:rsidRDefault="002D6F2D" w:rsidP="002D6F2D">
      <w:pPr>
        <w:pStyle w:val="ListParagraph"/>
        <w:numPr>
          <w:ilvl w:val="0"/>
          <w:numId w:val="14"/>
        </w:numPr>
        <w:rPr>
          <w:rFonts w:ascii="Bookman Old Style" w:hAnsi="Bookman Old Style"/>
          <w:sz w:val="24"/>
          <w:szCs w:val="24"/>
        </w:rPr>
      </w:pPr>
      <w:r>
        <w:rPr>
          <w:rFonts w:ascii="Bookman Old Style" w:hAnsi="Bookman Old Style"/>
          <w:sz w:val="24"/>
          <w:szCs w:val="24"/>
        </w:rPr>
        <w:t xml:space="preserve">All provisions of this section expire on September 30, 2032 except for the clarification in current law that juvenile conduct can prohibit a person from purchasing firearms and that juvenile mental health adjudications that occur before the age of 16 do not prohibit a person from purchasing firearms. </w:t>
      </w:r>
    </w:p>
    <w:p w14:paraId="01830FAC" w14:textId="77777777" w:rsidR="002D6F2D" w:rsidRPr="002D6F2D" w:rsidRDefault="002D6F2D" w:rsidP="002D6F2D">
      <w:pPr>
        <w:pStyle w:val="ListParagraph"/>
        <w:rPr>
          <w:rFonts w:ascii="Bookman Old Style" w:hAnsi="Bookman Old Style"/>
          <w:sz w:val="24"/>
          <w:szCs w:val="24"/>
        </w:rPr>
      </w:pPr>
    </w:p>
    <w:p w14:paraId="1BFCD9A2" w14:textId="77777777" w:rsidR="002D6F2D" w:rsidRDefault="002D6F2D" w:rsidP="002D6F2D">
      <w:pPr>
        <w:spacing w:before="20" w:after="20"/>
        <w:rPr>
          <w:rFonts w:ascii="Bookman Old Style" w:hAnsi="Bookman Old Style"/>
          <w:b/>
          <w:bCs/>
          <w:sz w:val="24"/>
          <w:szCs w:val="24"/>
        </w:rPr>
      </w:pPr>
      <w:r>
        <w:rPr>
          <w:rFonts w:ascii="Bookman Old Style" w:hAnsi="Bookman Old Style"/>
          <w:b/>
          <w:bCs/>
          <w:sz w:val="24"/>
          <w:szCs w:val="24"/>
        </w:rPr>
        <w:t xml:space="preserve">Sec. </w:t>
      </w:r>
      <w:r w:rsidR="00240F25">
        <w:rPr>
          <w:rFonts w:ascii="Bookman Old Style" w:hAnsi="Bookman Old Style"/>
          <w:b/>
          <w:bCs/>
          <w:sz w:val="24"/>
          <w:szCs w:val="24"/>
        </w:rPr>
        <w:t>1200</w:t>
      </w:r>
      <w:r>
        <w:rPr>
          <w:rFonts w:ascii="Bookman Old Style" w:hAnsi="Bookman Old Style"/>
          <w:b/>
          <w:bCs/>
          <w:sz w:val="24"/>
          <w:szCs w:val="24"/>
        </w:rPr>
        <w:t xml:space="preserve">2. </w:t>
      </w:r>
      <w:r w:rsidR="00240F25">
        <w:rPr>
          <w:rFonts w:ascii="Bookman Old Style" w:hAnsi="Bookman Old Style"/>
          <w:b/>
          <w:bCs/>
          <w:sz w:val="24"/>
          <w:szCs w:val="24"/>
        </w:rPr>
        <w:t>Defining engaged in the business</w:t>
      </w:r>
    </w:p>
    <w:p w14:paraId="4E35CC68" w14:textId="77777777" w:rsidR="002D6F2D" w:rsidRDefault="002D6F2D" w:rsidP="002D6F2D">
      <w:pPr>
        <w:spacing w:before="20" w:after="20"/>
        <w:rPr>
          <w:rFonts w:ascii="Bookman Old Style" w:hAnsi="Bookman Old Style"/>
          <w:sz w:val="24"/>
          <w:szCs w:val="24"/>
        </w:rPr>
      </w:pPr>
    </w:p>
    <w:p w14:paraId="00EF8BBD" w14:textId="77777777" w:rsidR="002D6F2D" w:rsidRDefault="002D6F2D" w:rsidP="002D6F2D">
      <w:pPr>
        <w:numPr>
          <w:ilvl w:val="0"/>
          <w:numId w:val="2"/>
        </w:numPr>
        <w:spacing w:before="20" w:after="20"/>
        <w:textAlignment w:val="baseline"/>
        <w:rPr>
          <w:rFonts w:ascii="Bookman Old Style" w:eastAsia="Times New Roman" w:hAnsi="Bookman Old Style"/>
          <w:sz w:val="24"/>
          <w:szCs w:val="24"/>
        </w:rPr>
      </w:pPr>
      <w:r>
        <w:rPr>
          <w:rFonts w:ascii="Bookman Old Style" w:eastAsia="Times New Roman" w:hAnsi="Bookman Old Style"/>
          <w:sz w:val="24"/>
          <w:szCs w:val="24"/>
        </w:rPr>
        <w:t>Clarifies that an individual who repeatedly buys and sells firearms to predominantly earn a profit must register as a Federal Firearm Licensee (“FFL”).</w:t>
      </w:r>
    </w:p>
    <w:p w14:paraId="00D07448" w14:textId="77777777" w:rsidR="002D6F2D" w:rsidRDefault="002D6F2D" w:rsidP="002D6F2D">
      <w:pPr>
        <w:spacing w:before="20" w:after="20"/>
        <w:ind w:left="720"/>
        <w:textAlignment w:val="baseline"/>
        <w:rPr>
          <w:rFonts w:ascii="Bookman Old Style" w:hAnsi="Bookman Old Style"/>
          <w:sz w:val="24"/>
          <w:szCs w:val="24"/>
        </w:rPr>
      </w:pPr>
    </w:p>
    <w:p w14:paraId="58099E7C" w14:textId="77777777" w:rsidR="002D6F2D" w:rsidRDefault="002D6F2D" w:rsidP="002D6F2D">
      <w:pPr>
        <w:numPr>
          <w:ilvl w:val="0"/>
          <w:numId w:val="2"/>
        </w:numPr>
        <w:spacing w:before="20" w:after="20"/>
        <w:textAlignment w:val="baseline"/>
        <w:rPr>
          <w:rFonts w:ascii="Bookman Old Style" w:eastAsia="Times New Roman" w:hAnsi="Bookman Old Style"/>
          <w:sz w:val="24"/>
          <w:szCs w:val="24"/>
        </w:rPr>
      </w:pPr>
      <w:r>
        <w:rPr>
          <w:rFonts w:ascii="Bookman Old Style" w:eastAsia="Times New Roman" w:hAnsi="Bookman Old Style"/>
          <w:sz w:val="24"/>
          <w:szCs w:val="24"/>
        </w:rPr>
        <w:t xml:space="preserve">Provides clarity to the firearms industry, but cracks down on criminals who intentionally seek to avoid licensing requirements.  </w:t>
      </w:r>
    </w:p>
    <w:p w14:paraId="0411E675" w14:textId="77777777" w:rsidR="002D6F2D" w:rsidRDefault="002D6F2D" w:rsidP="002D6F2D">
      <w:pPr>
        <w:pStyle w:val="ListParagraph"/>
        <w:rPr>
          <w:rFonts w:ascii="Bookman Old Style" w:eastAsia="Times New Roman" w:hAnsi="Bookman Old Style"/>
          <w:sz w:val="24"/>
          <w:szCs w:val="24"/>
        </w:rPr>
      </w:pPr>
    </w:p>
    <w:p w14:paraId="3DC2D4D8" w14:textId="77777777" w:rsidR="002D6F2D" w:rsidRDefault="002D6F2D" w:rsidP="002D6F2D">
      <w:pPr>
        <w:numPr>
          <w:ilvl w:val="0"/>
          <w:numId w:val="2"/>
        </w:numPr>
        <w:spacing w:before="20" w:after="20"/>
        <w:textAlignment w:val="baseline"/>
        <w:rPr>
          <w:rFonts w:ascii="Bookman Old Style" w:eastAsia="Times New Roman" w:hAnsi="Bookman Old Style"/>
          <w:sz w:val="24"/>
          <w:szCs w:val="24"/>
        </w:rPr>
      </w:pPr>
      <w:r w:rsidRPr="002D6F2D">
        <w:rPr>
          <w:rFonts w:ascii="Bookman Old Style" w:eastAsia="Times New Roman" w:hAnsi="Bookman Old Style"/>
          <w:sz w:val="24"/>
          <w:szCs w:val="24"/>
        </w:rPr>
        <w:t>Maintains protections for hobbyists and gun enthusiasts to privately sell their firearms without having to register as an FFL. </w:t>
      </w:r>
    </w:p>
    <w:p w14:paraId="766C411A" w14:textId="77777777" w:rsidR="002D6F2D" w:rsidRDefault="002D6F2D" w:rsidP="002D6F2D">
      <w:pPr>
        <w:pStyle w:val="ListParagraph"/>
        <w:rPr>
          <w:rFonts w:ascii="Bookman Old Style" w:eastAsia="Times New Roman" w:hAnsi="Bookman Old Style"/>
          <w:sz w:val="24"/>
          <w:szCs w:val="24"/>
        </w:rPr>
      </w:pPr>
    </w:p>
    <w:p w14:paraId="320A6C18" w14:textId="77777777" w:rsidR="002D6F2D" w:rsidRDefault="002D6F2D" w:rsidP="002D6F2D">
      <w:pPr>
        <w:rPr>
          <w:rFonts w:ascii="Bookman Old Style" w:hAnsi="Bookman Old Style"/>
          <w:b/>
          <w:bCs/>
          <w:sz w:val="24"/>
          <w:szCs w:val="24"/>
        </w:rPr>
      </w:pPr>
      <w:r>
        <w:rPr>
          <w:rFonts w:ascii="Bookman Old Style" w:hAnsi="Bookman Old Style"/>
          <w:b/>
          <w:bCs/>
          <w:sz w:val="24"/>
          <w:szCs w:val="24"/>
        </w:rPr>
        <w:t xml:space="preserve">Sec. </w:t>
      </w:r>
      <w:r w:rsidR="00240F25">
        <w:rPr>
          <w:rFonts w:ascii="Bookman Old Style" w:hAnsi="Bookman Old Style"/>
          <w:b/>
          <w:bCs/>
          <w:sz w:val="24"/>
          <w:szCs w:val="24"/>
        </w:rPr>
        <w:t>1200</w:t>
      </w:r>
      <w:r>
        <w:rPr>
          <w:rFonts w:ascii="Bookman Old Style" w:hAnsi="Bookman Old Style"/>
          <w:b/>
          <w:bCs/>
          <w:sz w:val="24"/>
          <w:szCs w:val="24"/>
        </w:rPr>
        <w:t>3. Byrne JAG Grant Funding for States to Support Crisis Intervention Programs</w:t>
      </w:r>
    </w:p>
    <w:p w14:paraId="54E1B30D" w14:textId="77777777" w:rsidR="002D6F2D" w:rsidRDefault="002D6F2D" w:rsidP="002D6F2D">
      <w:pPr>
        <w:rPr>
          <w:rFonts w:ascii="Bookman Old Style" w:hAnsi="Bookman Old Style"/>
          <w:sz w:val="24"/>
          <w:szCs w:val="24"/>
        </w:rPr>
      </w:pPr>
    </w:p>
    <w:p w14:paraId="719EEDDC" w14:textId="77777777" w:rsidR="002D6F2D" w:rsidRDefault="002D6F2D" w:rsidP="002D6F2D">
      <w:pPr>
        <w:pStyle w:val="ListParagraph"/>
        <w:numPr>
          <w:ilvl w:val="0"/>
          <w:numId w:val="15"/>
        </w:numPr>
        <w:rPr>
          <w:rFonts w:ascii="Bookman Old Style" w:hAnsi="Bookman Old Style"/>
          <w:sz w:val="24"/>
          <w:szCs w:val="24"/>
        </w:rPr>
      </w:pPr>
      <w:r>
        <w:rPr>
          <w:rFonts w:ascii="Bookman Old Style" w:hAnsi="Bookman Old Style"/>
          <w:sz w:val="24"/>
          <w:szCs w:val="24"/>
        </w:rPr>
        <w:t>Creates a new purpose area in the Byrne JAG law enforcement formula grant program allowing states to use funding to implement crisis intervention court programs. These programs could include many different types of initiatives, including but not limited to mental health courts, drug courts, veterans courts, and assisted outpatient treatment courts.</w:t>
      </w:r>
    </w:p>
    <w:p w14:paraId="7917FF96" w14:textId="77777777" w:rsidR="002D6F2D" w:rsidRDefault="002D6F2D" w:rsidP="002D6F2D">
      <w:pPr>
        <w:pStyle w:val="ListParagraph"/>
        <w:rPr>
          <w:rFonts w:ascii="Bookman Old Style" w:hAnsi="Bookman Old Style"/>
          <w:sz w:val="24"/>
          <w:szCs w:val="24"/>
        </w:rPr>
      </w:pPr>
    </w:p>
    <w:p w14:paraId="28B528A3" w14:textId="77777777" w:rsidR="002D6F2D" w:rsidRDefault="002D6F2D" w:rsidP="002D6F2D">
      <w:pPr>
        <w:pStyle w:val="ListParagraph"/>
        <w:numPr>
          <w:ilvl w:val="0"/>
          <w:numId w:val="15"/>
        </w:numPr>
        <w:rPr>
          <w:rFonts w:ascii="Bookman Old Style" w:hAnsi="Bookman Old Style"/>
          <w:sz w:val="24"/>
          <w:szCs w:val="24"/>
        </w:rPr>
      </w:pPr>
      <w:r>
        <w:rPr>
          <w:rFonts w:ascii="Bookman Old Style" w:hAnsi="Bookman Old Style"/>
          <w:sz w:val="24"/>
          <w:szCs w:val="24"/>
        </w:rPr>
        <w:t xml:space="preserve">Under this provision, every state would receive funding based on an existing formula and also have flexibility to choose whichever crisis intervention programs would work best for them. There are no mandates, incentives, penalties, or set-asides. </w:t>
      </w:r>
    </w:p>
    <w:p w14:paraId="48E4B487" w14:textId="77777777" w:rsidR="002D6F2D" w:rsidRDefault="002D6F2D" w:rsidP="002D6F2D">
      <w:pPr>
        <w:pStyle w:val="ListParagraph"/>
        <w:rPr>
          <w:rFonts w:ascii="Bookman Old Style" w:hAnsi="Bookman Old Style"/>
          <w:sz w:val="24"/>
          <w:szCs w:val="24"/>
        </w:rPr>
      </w:pPr>
    </w:p>
    <w:p w14:paraId="08EE8B8B" w14:textId="77777777" w:rsidR="002D6F2D" w:rsidRDefault="002D6F2D" w:rsidP="002D6F2D">
      <w:pPr>
        <w:pStyle w:val="ListParagraph"/>
        <w:numPr>
          <w:ilvl w:val="0"/>
          <w:numId w:val="15"/>
        </w:numPr>
        <w:rPr>
          <w:rFonts w:ascii="Bookman Old Style" w:hAnsi="Bookman Old Style"/>
          <w:sz w:val="24"/>
          <w:szCs w:val="24"/>
        </w:rPr>
      </w:pPr>
      <w:r>
        <w:rPr>
          <w:rFonts w:ascii="Bookman Old Style" w:hAnsi="Bookman Old Style"/>
          <w:sz w:val="24"/>
          <w:szCs w:val="24"/>
        </w:rPr>
        <w:t>If a state chooses to use any of this funding to implement an extreme risk protection order program, it would be required to meet strict and expansive due process, evidentiary, and standard of proof requirements at all phases of the proceeding (pre-deprivation and post-deprivation).</w:t>
      </w:r>
    </w:p>
    <w:p w14:paraId="426C0792" w14:textId="77777777" w:rsidR="004211A3" w:rsidRPr="004211A3" w:rsidRDefault="004211A3" w:rsidP="004211A3">
      <w:pPr>
        <w:pStyle w:val="ListParagraph"/>
        <w:rPr>
          <w:rFonts w:ascii="Bookman Old Style" w:hAnsi="Bookman Old Style"/>
          <w:sz w:val="24"/>
          <w:szCs w:val="24"/>
        </w:rPr>
      </w:pPr>
    </w:p>
    <w:p w14:paraId="456B4F18" w14:textId="77777777" w:rsidR="004211A3" w:rsidRDefault="004211A3" w:rsidP="002D6F2D">
      <w:pPr>
        <w:pStyle w:val="ListParagraph"/>
        <w:numPr>
          <w:ilvl w:val="0"/>
          <w:numId w:val="15"/>
        </w:numPr>
        <w:rPr>
          <w:rFonts w:ascii="Bookman Old Style" w:hAnsi="Bookman Old Style"/>
          <w:sz w:val="24"/>
          <w:szCs w:val="24"/>
        </w:rPr>
      </w:pPr>
      <w:r>
        <w:rPr>
          <w:rFonts w:ascii="Bookman Old Style" w:hAnsi="Bookman Old Style"/>
          <w:sz w:val="24"/>
          <w:szCs w:val="24"/>
        </w:rPr>
        <w:t>Due process protections against using funds for extreme risk protection order programs include:</w:t>
      </w:r>
    </w:p>
    <w:p w14:paraId="40C62A81" w14:textId="77777777" w:rsidR="004211A3" w:rsidRPr="004211A3" w:rsidRDefault="004211A3" w:rsidP="004211A3">
      <w:pPr>
        <w:pStyle w:val="ListParagraph"/>
        <w:rPr>
          <w:rFonts w:ascii="Bookman Old Style" w:hAnsi="Bookman Old Style"/>
          <w:sz w:val="24"/>
          <w:szCs w:val="24"/>
        </w:rPr>
      </w:pPr>
    </w:p>
    <w:p w14:paraId="0D596817" w14:textId="77777777" w:rsidR="004211A3" w:rsidRDefault="004211A3" w:rsidP="004211A3">
      <w:pPr>
        <w:pStyle w:val="ListParagraph"/>
        <w:widowControl w:val="0"/>
        <w:numPr>
          <w:ilvl w:val="1"/>
          <w:numId w:val="15"/>
        </w:numPr>
        <w:autoSpaceDE w:val="0"/>
        <w:autoSpaceDN w:val="0"/>
        <w:adjustRightInd w:val="0"/>
        <w:spacing w:before="120"/>
        <w:rPr>
          <w:rFonts w:ascii="Times New Roman" w:hAnsi="Times New Roman" w:cs="Times New Roman"/>
          <w:sz w:val="24"/>
          <w:szCs w:val="24"/>
        </w:rPr>
      </w:pPr>
      <w:r w:rsidRPr="004211A3">
        <w:rPr>
          <w:rFonts w:ascii="Times New Roman" w:hAnsi="Times New Roman" w:cs="Times New Roman"/>
          <w:sz w:val="24"/>
          <w:szCs w:val="24"/>
        </w:rPr>
        <w:t>“(I) pre-deprivation and post-deprivation due process rights that prevent any violation or infringement of the Constitution of the United States, including but not limited to the Bill of Rights, and the substantive or procedural due process rights guaranteed under the Fifth and Fourteenth Amendments to the Constitution of the United States, as applied to the States, and as interpreted by State courts and United States courts (including the Supreme Court of the United States). Such programs must include, at the appropriate phase to prevent any violation of constitutional rights, at minimum, notice, the right to an in-person hearing, an unbiased adjudicator, the right to know opposing evidence, the right to present evidence, and the right to confront adverse witnesses;</w:t>
      </w:r>
    </w:p>
    <w:p w14:paraId="39FAE9F0" w14:textId="77777777" w:rsidR="004211A3" w:rsidRPr="004211A3" w:rsidRDefault="004211A3" w:rsidP="004211A3">
      <w:pPr>
        <w:pStyle w:val="ListParagraph"/>
        <w:widowControl w:val="0"/>
        <w:autoSpaceDE w:val="0"/>
        <w:autoSpaceDN w:val="0"/>
        <w:adjustRightInd w:val="0"/>
        <w:spacing w:before="120"/>
        <w:ind w:left="1440"/>
        <w:rPr>
          <w:rFonts w:ascii="Times New Roman" w:hAnsi="Times New Roman" w:cs="Times New Roman"/>
          <w:sz w:val="24"/>
          <w:szCs w:val="24"/>
        </w:rPr>
      </w:pPr>
    </w:p>
    <w:p w14:paraId="69ED5CC6" w14:textId="77777777" w:rsidR="004211A3" w:rsidRDefault="004211A3" w:rsidP="004211A3">
      <w:pPr>
        <w:pStyle w:val="ListParagraph"/>
        <w:widowControl w:val="0"/>
        <w:numPr>
          <w:ilvl w:val="1"/>
          <w:numId w:val="15"/>
        </w:numPr>
        <w:autoSpaceDE w:val="0"/>
        <w:autoSpaceDN w:val="0"/>
        <w:adjustRightInd w:val="0"/>
        <w:spacing w:before="120"/>
        <w:rPr>
          <w:rFonts w:ascii="Times New Roman" w:hAnsi="Times New Roman" w:cs="Times New Roman"/>
          <w:sz w:val="24"/>
          <w:szCs w:val="24"/>
        </w:rPr>
      </w:pPr>
      <w:r w:rsidRPr="004211A3">
        <w:rPr>
          <w:rFonts w:ascii="Times New Roman" w:hAnsi="Times New Roman" w:cs="Times New Roman"/>
          <w:sz w:val="24"/>
          <w:szCs w:val="24"/>
        </w:rPr>
        <w:t>“(II) the right to be represented by counsel at no expense to the government;</w:t>
      </w:r>
    </w:p>
    <w:p w14:paraId="520D07CC" w14:textId="77777777" w:rsidR="004211A3" w:rsidRPr="004211A3" w:rsidRDefault="004211A3" w:rsidP="004211A3">
      <w:pPr>
        <w:pStyle w:val="ListParagraph"/>
        <w:rPr>
          <w:rFonts w:ascii="Times New Roman" w:hAnsi="Times New Roman" w:cs="Times New Roman"/>
          <w:sz w:val="24"/>
          <w:szCs w:val="24"/>
        </w:rPr>
      </w:pPr>
    </w:p>
    <w:p w14:paraId="58F0FE37" w14:textId="77777777" w:rsidR="004211A3" w:rsidRPr="004211A3" w:rsidRDefault="004211A3" w:rsidP="004211A3">
      <w:pPr>
        <w:pStyle w:val="ListParagraph"/>
        <w:widowControl w:val="0"/>
        <w:autoSpaceDE w:val="0"/>
        <w:autoSpaceDN w:val="0"/>
        <w:adjustRightInd w:val="0"/>
        <w:spacing w:before="120"/>
        <w:ind w:left="1440"/>
        <w:rPr>
          <w:rFonts w:ascii="Times New Roman" w:hAnsi="Times New Roman" w:cs="Times New Roman"/>
          <w:sz w:val="24"/>
          <w:szCs w:val="24"/>
        </w:rPr>
      </w:pPr>
    </w:p>
    <w:p w14:paraId="30556D68" w14:textId="77777777" w:rsidR="004211A3" w:rsidRDefault="004211A3" w:rsidP="004211A3">
      <w:pPr>
        <w:pStyle w:val="ListParagraph"/>
        <w:widowControl w:val="0"/>
        <w:numPr>
          <w:ilvl w:val="1"/>
          <w:numId w:val="15"/>
        </w:numPr>
        <w:autoSpaceDE w:val="0"/>
        <w:autoSpaceDN w:val="0"/>
        <w:adjustRightInd w:val="0"/>
        <w:spacing w:before="120"/>
        <w:rPr>
          <w:rFonts w:ascii="Times New Roman" w:hAnsi="Times New Roman" w:cs="Times New Roman"/>
          <w:sz w:val="24"/>
          <w:szCs w:val="24"/>
        </w:rPr>
      </w:pPr>
      <w:r w:rsidRPr="004211A3">
        <w:rPr>
          <w:rFonts w:ascii="Times New Roman" w:hAnsi="Times New Roman" w:cs="Times New Roman"/>
          <w:sz w:val="24"/>
          <w:szCs w:val="24"/>
        </w:rPr>
        <w:t>“(III) pre-deprivation and post-deprivation heightened evidentiary standards and proof which mean not less than the protections afforded to a similarly situated litigant in Federal court or promulgated by the State’s evidentiary body, and sufficient to ensure the full protections of the Constitution of the United States, including but not limited to the Bill of Rights, and the substantive and procedural due process rights guaranteed under the Fifth and Fourteenth Amendments to the Constitution of the United States, as applied to the States, and as interpreted by State courts and United States courts (including the Supreme Court of the United States). The heightened evidentiary standards and proof under such programs must, at all appropriate phases to prevent any violation of any constitutional right, at minimum, prevent reliance upon evidence that is unsworn or unaffirmed, irrelevant, based on inadmissible hearsay, unreliable, vague, speculative, and lacking a foundation; and</w:t>
      </w:r>
    </w:p>
    <w:p w14:paraId="5852F80F" w14:textId="77777777" w:rsidR="004211A3" w:rsidRPr="004211A3" w:rsidRDefault="004211A3" w:rsidP="004211A3">
      <w:pPr>
        <w:pStyle w:val="ListParagraph"/>
        <w:widowControl w:val="0"/>
        <w:autoSpaceDE w:val="0"/>
        <w:autoSpaceDN w:val="0"/>
        <w:adjustRightInd w:val="0"/>
        <w:spacing w:before="120"/>
        <w:ind w:left="1440"/>
        <w:rPr>
          <w:rFonts w:ascii="Times New Roman" w:hAnsi="Times New Roman" w:cs="Times New Roman"/>
          <w:sz w:val="24"/>
          <w:szCs w:val="24"/>
        </w:rPr>
      </w:pPr>
    </w:p>
    <w:p w14:paraId="02034A05" w14:textId="77777777" w:rsidR="004211A3" w:rsidRPr="004211A3" w:rsidRDefault="004211A3" w:rsidP="004211A3">
      <w:pPr>
        <w:pStyle w:val="ListParagraph"/>
        <w:widowControl w:val="0"/>
        <w:numPr>
          <w:ilvl w:val="1"/>
          <w:numId w:val="15"/>
        </w:numPr>
        <w:autoSpaceDE w:val="0"/>
        <w:autoSpaceDN w:val="0"/>
        <w:adjustRightInd w:val="0"/>
        <w:spacing w:before="120"/>
        <w:rPr>
          <w:rFonts w:ascii="Times New Roman" w:hAnsi="Times New Roman" w:cs="Times New Roman"/>
          <w:sz w:val="24"/>
          <w:szCs w:val="24"/>
        </w:rPr>
      </w:pPr>
      <w:r w:rsidRPr="004211A3">
        <w:rPr>
          <w:rFonts w:ascii="Times New Roman" w:hAnsi="Times New Roman" w:cs="Times New Roman"/>
          <w:sz w:val="24"/>
          <w:szCs w:val="24"/>
        </w:rPr>
        <w:t>“(IV) penalties for abuse of the program.”.</w:t>
      </w:r>
    </w:p>
    <w:p w14:paraId="533B4AE0" w14:textId="77777777" w:rsidR="002D6F2D" w:rsidRDefault="002D6F2D" w:rsidP="002D6F2D">
      <w:pPr>
        <w:pStyle w:val="ListParagraph"/>
        <w:rPr>
          <w:rFonts w:ascii="Bookman Old Style" w:hAnsi="Bookman Old Style"/>
          <w:sz w:val="24"/>
          <w:szCs w:val="24"/>
        </w:rPr>
      </w:pPr>
    </w:p>
    <w:p w14:paraId="24B461E6" w14:textId="77777777" w:rsidR="002D6F2D" w:rsidRDefault="002D6F2D" w:rsidP="002D6F2D">
      <w:pPr>
        <w:pStyle w:val="ListParagraph"/>
        <w:numPr>
          <w:ilvl w:val="0"/>
          <w:numId w:val="15"/>
        </w:numPr>
        <w:rPr>
          <w:rFonts w:ascii="Bookman Old Style" w:hAnsi="Bookman Old Style"/>
          <w:sz w:val="24"/>
          <w:szCs w:val="24"/>
        </w:rPr>
      </w:pPr>
      <w:r>
        <w:rPr>
          <w:rFonts w:ascii="Bookman Old Style" w:hAnsi="Bookman Old Style"/>
          <w:sz w:val="24"/>
          <w:szCs w:val="24"/>
        </w:rPr>
        <w:t xml:space="preserve">Requires a mandatory report each year regarding the efficacy, nature, and due process protections associated with crisis intervention programs funded under this provision. </w:t>
      </w:r>
    </w:p>
    <w:p w14:paraId="371C7BF6" w14:textId="77777777" w:rsidR="00C95E90" w:rsidRDefault="00C95E90" w:rsidP="00C95E90">
      <w:pPr>
        <w:rPr>
          <w:rFonts w:ascii="Bookman Old Style" w:hAnsi="Bookman Old Style"/>
          <w:b/>
          <w:bCs/>
          <w:sz w:val="24"/>
          <w:szCs w:val="24"/>
        </w:rPr>
      </w:pPr>
    </w:p>
    <w:p w14:paraId="5ACC6A2D" w14:textId="77777777" w:rsidR="00C95E90" w:rsidRDefault="002D6F2D" w:rsidP="00C95E90">
      <w:pPr>
        <w:rPr>
          <w:rFonts w:ascii="Bookman Old Style" w:hAnsi="Bookman Old Style"/>
          <w:b/>
          <w:bCs/>
          <w:sz w:val="24"/>
          <w:szCs w:val="24"/>
        </w:rPr>
      </w:pPr>
      <w:r>
        <w:rPr>
          <w:rFonts w:ascii="Bookman Old Style" w:hAnsi="Bookman Old Style"/>
          <w:b/>
          <w:bCs/>
          <w:sz w:val="24"/>
          <w:szCs w:val="24"/>
        </w:rPr>
        <w:t xml:space="preserve">Sec. </w:t>
      </w:r>
      <w:r w:rsidR="00240F25">
        <w:rPr>
          <w:rFonts w:ascii="Bookman Old Style" w:hAnsi="Bookman Old Style"/>
          <w:b/>
          <w:bCs/>
          <w:sz w:val="24"/>
          <w:szCs w:val="24"/>
        </w:rPr>
        <w:t>1200</w:t>
      </w:r>
      <w:r>
        <w:rPr>
          <w:rFonts w:ascii="Bookman Old Style" w:hAnsi="Bookman Old Style"/>
          <w:b/>
          <w:bCs/>
          <w:sz w:val="24"/>
          <w:szCs w:val="24"/>
        </w:rPr>
        <w:t>4</w:t>
      </w:r>
      <w:r w:rsidR="00C95E90">
        <w:rPr>
          <w:rFonts w:ascii="Bookman Old Style" w:hAnsi="Bookman Old Style"/>
          <w:b/>
          <w:bCs/>
          <w:sz w:val="24"/>
          <w:szCs w:val="24"/>
        </w:rPr>
        <w:t xml:space="preserve">. </w:t>
      </w:r>
      <w:r w:rsidR="00240F25">
        <w:rPr>
          <w:rFonts w:ascii="Bookman Old Style" w:hAnsi="Bookman Old Style"/>
          <w:b/>
          <w:bCs/>
          <w:sz w:val="24"/>
          <w:szCs w:val="24"/>
        </w:rPr>
        <w:t>Stop Illegal Trafficking in Firearms Act</w:t>
      </w:r>
    </w:p>
    <w:p w14:paraId="6F122A12" w14:textId="77777777" w:rsidR="00240F25" w:rsidRDefault="00240F25" w:rsidP="00C95E90">
      <w:pPr>
        <w:rPr>
          <w:rFonts w:ascii="Bookman Old Style" w:hAnsi="Bookman Old Style"/>
          <w:b/>
          <w:bCs/>
          <w:sz w:val="24"/>
          <w:szCs w:val="24"/>
        </w:rPr>
      </w:pPr>
    </w:p>
    <w:p w14:paraId="26E4D9B2" w14:textId="77777777" w:rsidR="00C95E90" w:rsidRDefault="00C95E90" w:rsidP="00C95E90">
      <w:pPr>
        <w:pStyle w:val="ListParagraph"/>
        <w:numPr>
          <w:ilvl w:val="0"/>
          <w:numId w:val="13"/>
        </w:numPr>
        <w:rPr>
          <w:rFonts w:ascii="Bookman Old Style" w:hAnsi="Bookman Old Style"/>
          <w:sz w:val="24"/>
          <w:szCs w:val="24"/>
        </w:rPr>
      </w:pPr>
      <w:r>
        <w:rPr>
          <w:rFonts w:ascii="Bookman Old Style" w:hAnsi="Bookman Old Style"/>
          <w:sz w:val="24"/>
          <w:szCs w:val="24"/>
        </w:rPr>
        <w:t>The trafficking of firearms to violent criminals, gangs, and drug trafficking organizations presents a serious threat to public safety.  Straw purchasers—individuals without a criminal record who purchase firearms for violent criminals, terrorists, drug dealers, or persons who are prohibited by law from receiving firearms—are the linchpin of most firearms trafficking operations, which are responsible for funneling illegal firearms into our cities and across our Southern border.  There is no criminal statute specifically prohibiting straw purchasing or firearms trafficking.  Instead, prosecutors rely primarily on “paperwork violations” that prohibit making false statements in connection with the purchase of a firearm.</w:t>
      </w:r>
    </w:p>
    <w:p w14:paraId="34803D88" w14:textId="77777777" w:rsidR="00C95E90" w:rsidRDefault="00C95E90" w:rsidP="00C95E90">
      <w:pPr>
        <w:pStyle w:val="ListParagraph"/>
        <w:rPr>
          <w:rFonts w:ascii="Bookman Old Style" w:hAnsi="Bookman Old Style"/>
          <w:sz w:val="24"/>
          <w:szCs w:val="24"/>
        </w:rPr>
      </w:pPr>
    </w:p>
    <w:p w14:paraId="36C56944" w14:textId="77777777" w:rsidR="00C95E90" w:rsidRDefault="00C95E90" w:rsidP="00C95E90">
      <w:pPr>
        <w:pStyle w:val="ListParagraph"/>
        <w:numPr>
          <w:ilvl w:val="0"/>
          <w:numId w:val="13"/>
        </w:numPr>
        <w:rPr>
          <w:rFonts w:ascii="Bookman Old Style" w:hAnsi="Bookman Old Style"/>
          <w:sz w:val="24"/>
          <w:szCs w:val="24"/>
        </w:rPr>
      </w:pPr>
      <w:r>
        <w:rPr>
          <w:rFonts w:ascii="Bookman Old Style" w:hAnsi="Bookman Old Style"/>
          <w:sz w:val="24"/>
          <w:szCs w:val="24"/>
        </w:rPr>
        <w:t>Establishes new, specific criminal offenses with significant penalties for straw purchasers and firearms traffickers (up to 15 years imprisonment), and enhanced penalties when straw-purchased firearms are used in connection with serious criminal activity like terrorism and drug trafficking (up to 25 years imprisonment).  </w:t>
      </w:r>
    </w:p>
    <w:p w14:paraId="4E642DE5" w14:textId="77777777" w:rsidR="00C95E90" w:rsidRDefault="00C95E90" w:rsidP="00C95E90">
      <w:pPr>
        <w:rPr>
          <w:rFonts w:ascii="Bookman Old Style" w:hAnsi="Bookman Old Style"/>
          <w:sz w:val="24"/>
          <w:szCs w:val="24"/>
        </w:rPr>
      </w:pPr>
    </w:p>
    <w:p w14:paraId="74417C03" w14:textId="77777777" w:rsidR="00C95E90" w:rsidRDefault="00C95E90" w:rsidP="00C95E90">
      <w:pPr>
        <w:pStyle w:val="ListParagraph"/>
        <w:numPr>
          <w:ilvl w:val="0"/>
          <w:numId w:val="13"/>
        </w:numPr>
        <w:rPr>
          <w:rFonts w:ascii="Bookman Old Style" w:hAnsi="Bookman Old Style"/>
          <w:sz w:val="24"/>
          <w:szCs w:val="24"/>
        </w:rPr>
      </w:pPr>
      <w:r>
        <w:rPr>
          <w:rFonts w:ascii="Bookman Old Style" w:hAnsi="Bookman Old Style"/>
          <w:sz w:val="24"/>
          <w:szCs w:val="24"/>
        </w:rPr>
        <w:t xml:space="preserve">Enhances criminal tools to vigorously investigate and prosecute straw purchasers and gun traffickers, including those who act as “middlemen” on behalf of violent criminals or drug traffickers.  Provides criminal investigators with additional wire-tap, forfeiture, racketeering charging, criminal fine, and money laundering authorities.   </w:t>
      </w:r>
    </w:p>
    <w:p w14:paraId="0F3F666B" w14:textId="77777777" w:rsidR="00C95E90" w:rsidRDefault="00C95E90" w:rsidP="00C95E90">
      <w:pPr>
        <w:rPr>
          <w:rFonts w:ascii="Bookman Old Style" w:hAnsi="Bookman Old Style"/>
          <w:sz w:val="24"/>
          <w:szCs w:val="24"/>
        </w:rPr>
      </w:pPr>
    </w:p>
    <w:p w14:paraId="0E48DCEF" w14:textId="77777777" w:rsidR="00C95E90" w:rsidRDefault="00C95E90" w:rsidP="00C95E90">
      <w:pPr>
        <w:pStyle w:val="ListParagraph"/>
        <w:numPr>
          <w:ilvl w:val="0"/>
          <w:numId w:val="13"/>
        </w:numPr>
        <w:rPr>
          <w:rFonts w:ascii="Bookman Old Style" w:hAnsi="Bookman Old Style"/>
          <w:sz w:val="24"/>
          <w:szCs w:val="24"/>
        </w:rPr>
      </w:pPr>
      <w:r>
        <w:rPr>
          <w:rFonts w:ascii="Bookman Old Style" w:hAnsi="Bookman Old Style"/>
          <w:sz w:val="24"/>
          <w:szCs w:val="24"/>
        </w:rPr>
        <w:t>Directs the U.S. Sentencing Commission to review and amend its guidelines to ensure that straw purchasers and gun traffickers are subject to tough penalties, particularly those who are affiliated with a gang, cartel, organized crime ring, or other such enterprise, while also considering factors that are sufficient to deter these crimes in the future.</w:t>
      </w:r>
    </w:p>
    <w:p w14:paraId="1C5069EF" w14:textId="77777777" w:rsidR="00C95E90" w:rsidRDefault="00C95E90" w:rsidP="00C95E90">
      <w:pPr>
        <w:pStyle w:val="ListParagraph"/>
        <w:rPr>
          <w:rFonts w:ascii="Bookman Old Style" w:hAnsi="Bookman Old Style"/>
          <w:sz w:val="24"/>
          <w:szCs w:val="24"/>
        </w:rPr>
      </w:pPr>
    </w:p>
    <w:p w14:paraId="53FCB6A3" w14:textId="77777777" w:rsidR="00C95E90" w:rsidRDefault="00C95E90" w:rsidP="00C95E90">
      <w:pPr>
        <w:pStyle w:val="ListParagraph"/>
        <w:numPr>
          <w:ilvl w:val="0"/>
          <w:numId w:val="13"/>
        </w:numPr>
        <w:rPr>
          <w:rFonts w:ascii="Bookman Old Style" w:hAnsi="Bookman Old Style"/>
          <w:sz w:val="24"/>
          <w:szCs w:val="24"/>
        </w:rPr>
      </w:pPr>
      <w:r>
        <w:rPr>
          <w:rFonts w:ascii="Bookman Old Style" w:hAnsi="Bookman Old Style"/>
          <w:sz w:val="24"/>
          <w:szCs w:val="24"/>
        </w:rPr>
        <w:t xml:space="preserve">Prohibits Firearms or Ammunition Transfers to Drug Cartels to prevent another “Operation Fast and Furious” scandal.  </w:t>
      </w:r>
    </w:p>
    <w:p w14:paraId="20F769A0" w14:textId="77777777" w:rsidR="00C95E90" w:rsidRDefault="00C95E90" w:rsidP="00C95E90">
      <w:pPr>
        <w:pStyle w:val="ListParagraph"/>
        <w:rPr>
          <w:rFonts w:ascii="Bookman Old Style" w:hAnsi="Bookman Old Style"/>
          <w:sz w:val="24"/>
          <w:szCs w:val="24"/>
        </w:rPr>
      </w:pPr>
    </w:p>
    <w:p w14:paraId="4E9BF3DE" w14:textId="77777777" w:rsidR="00C95E90" w:rsidRDefault="00C95E90" w:rsidP="00C95E90">
      <w:pPr>
        <w:pStyle w:val="ListParagraph"/>
        <w:numPr>
          <w:ilvl w:val="0"/>
          <w:numId w:val="13"/>
        </w:numPr>
        <w:rPr>
          <w:rFonts w:ascii="Bookman Old Style" w:hAnsi="Bookman Old Style"/>
          <w:sz w:val="24"/>
          <w:szCs w:val="24"/>
        </w:rPr>
      </w:pPr>
      <w:r>
        <w:rPr>
          <w:rFonts w:ascii="Bookman Old Style" w:hAnsi="Bookman Old Style"/>
          <w:sz w:val="24"/>
          <w:szCs w:val="24"/>
        </w:rPr>
        <w:t xml:space="preserve">Criminalizes smuggling firearms </w:t>
      </w:r>
      <w:r>
        <w:rPr>
          <w:rFonts w:ascii="Bookman Old Style" w:hAnsi="Bookman Old Style"/>
          <w:i/>
          <w:iCs/>
          <w:sz w:val="24"/>
          <w:szCs w:val="24"/>
        </w:rPr>
        <w:t xml:space="preserve">out </w:t>
      </w:r>
      <w:r>
        <w:rPr>
          <w:rFonts w:ascii="Bookman Old Style" w:hAnsi="Bookman Old Style"/>
          <w:sz w:val="24"/>
          <w:szCs w:val="24"/>
        </w:rPr>
        <w:t xml:space="preserve">of the United States. Under current law, it is unlawful only for a person to smuggle firearms </w:t>
      </w:r>
      <w:r>
        <w:rPr>
          <w:rFonts w:ascii="Bookman Old Style" w:hAnsi="Bookman Old Style"/>
          <w:i/>
          <w:iCs/>
          <w:sz w:val="24"/>
          <w:szCs w:val="24"/>
        </w:rPr>
        <w:t>into</w:t>
      </w:r>
      <w:r>
        <w:rPr>
          <w:rFonts w:ascii="Bookman Old Style" w:hAnsi="Bookman Old Style"/>
          <w:sz w:val="24"/>
          <w:szCs w:val="24"/>
        </w:rPr>
        <w:t xml:space="preserve"> the United States.</w:t>
      </w:r>
    </w:p>
    <w:p w14:paraId="4FE77632" w14:textId="77777777" w:rsidR="00C95E90" w:rsidRDefault="00C95E90" w:rsidP="00C95E90">
      <w:pPr>
        <w:pStyle w:val="ListParagraph"/>
        <w:rPr>
          <w:rFonts w:ascii="Bookman Old Style" w:hAnsi="Bookman Old Style"/>
          <w:sz w:val="24"/>
          <w:szCs w:val="24"/>
        </w:rPr>
      </w:pPr>
    </w:p>
    <w:p w14:paraId="7DAE413D" w14:textId="77777777" w:rsidR="00C95E90" w:rsidRDefault="00C95E90" w:rsidP="00C95E90">
      <w:pPr>
        <w:pStyle w:val="ListParagraph"/>
        <w:numPr>
          <w:ilvl w:val="0"/>
          <w:numId w:val="13"/>
        </w:numPr>
        <w:rPr>
          <w:rFonts w:ascii="Bookman Old Style" w:hAnsi="Bookman Old Style"/>
          <w:sz w:val="24"/>
          <w:szCs w:val="24"/>
        </w:rPr>
      </w:pPr>
      <w:r>
        <w:rPr>
          <w:rFonts w:ascii="Bookman Old Style" w:hAnsi="Bookman Old Style"/>
          <w:sz w:val="24"/>
          <w:szCs w:val="24"/>
        </w:rPr>
        <w:t xml:space="preserve">Provides Federal Firearm Licensees (“FFLs”) with access to the National Instant Criminal Background Check System (“NICS”) to run background checks on prospective employees to ensure that they are not prohibited from possessing firearms under current law. </w:t>
      </w:r>
    </w:p>
    <w:p w14:paraId="2109C2A3" w14:textId="77777777" w:rsidR="00C95E90" w:rsidRDefault="00C95E90" w:rsidP="00C95E90">
      <w:pPr>
        <w:pStyle w:val="ListParagraph"/>
        <w:rPr>
          <w:rFonts w:ascii="Bookman Old Style" w:hAnsi="Bookman Old Style"/>
          <w:sz w:val="24"/>
          <w:szCs w:val="24"/>
        </w:rPr>
      </w:pPr>
    </w:p>
    <w:p w14:paraId="0E7CBC43" w14:textId="77777777" w:rsidR="00C95E90" w:rsidRDefault="00C95E90" w:rsidP="00C95E90">
      <w:pPr>
        <w:pStyle w:val="ListParagraph"/>
        <w:numPr>
          <w:ilvl w:val="0"/>
          <w:numId w:val="13"/>
        </w:numPr>
        <w:rPr>
          <w:rFonts w:ascii="Bookman Old Style" w:hAnsi="Bookman Old Style"/>
          <w:sz w:val="24"/>
          <w:szCs w:val="24"/>
        </w:rPr>
      </w:pPr>
      <w:r>
        <w:rPr>
          <w:rFonts w:ascii="Bookman Old Style" w:hAnsi="Bookman Old Style"/>
          <w:sz w:val="24"/>
          <w:szCs w:val="24"/>
        </w:rPr>
        <w:t xml:space="preserve">Authorizes funding for an existing ATF Anti-Straw Purchasing Campaign to educate FFLs and others in the firearms industry to help combat straw purchasing.  </w:t>
      </w:r>
    </w:p>
    <w:p w14:paraId="624F1008" w14:textId="77777777" w:rsidR="00C95E90" w:rsidRDefault="00C95E90" w:rsidP="00C95E90">
      <w:pPr>
        <w:pStyle w:val="ListParagraph"/>
        <w:rPr>
          <w:rFonts w:ascii="Bookman Old Style" w:hAnsi="Bookman Old Style"/>
          <w:sz w:val="24"/>
          <w:szCs w:val="24"/>
        </w:rPr>
      </w:pPr>
    </w:p>
    <w:p w14:paraId="0E26FDDE" w14:textId="77777777" w:rsidR="00C95E90" w:rsidRDefault="00C95E90" w:rsidP="00C95E90">
      <w:pPr>
        <w:pStyle w:val="ListParagraph"/>
        <w:numPr>
          <w:ilvl w:val="0"/>
          <w:numId w:val="13"/>
        </w:numPr>
        <w:rPr>
          <w:rFonts w:ascii="Bookman Old Style" w:hAnsi="Bookman Old Style"/>
          <w:sz w:val="24"/>
          <w:szCs w:val="24"/>
        </w:rPr>
      </w:pPr>
      <w:r>
        <w:rPr>
          <w:rFonts w:ascii="Bookman Old Style" w:hAnsi="Bookman Old Style"/>
          <w:sz w:val="24"/>
          <w:szCs w:val="24"/>
        </w:rPr>
        <w:t xml:space="preserve">Authorizes funding to support coordination between federal and local law enforcement to prevent illegal trafficking of firearms.  </w:t>
      </w:r>
    </w:p>
    <w:p w14:paraId="08E5E3E6" w14:textId="77777777" w:rsidR="00C95E90" w:rsidRDefault="00C95E90" w:rsidP="00C95E90">
      <w:pPr>
        <w:rPr>
          <w:rFonts w:ascii="Bookman Old Style" w:hAnsi="Bookman Old Style"/>
          <w:sz w:val="24"/>
          <w:szCs w:val="24"/>
        </w:rPr>
      </w:pPr>
    </w:p>
    <w:p w14:paraId="7664B582" w14:textId="77777777" w:rsidR="00C95E90" w:rsidRDefault="00C95E90" w:rsidP="00C95E90">
      <w:pPr>
        <w:pStyle w:val="ListParagraph"/>
        <w:numPr>
          <w:ilvl w:val="0"/>
          <w:numId w:val="13"/>
        </w:numPr>
        <w:rPr>
          <w:rFonts w:ascii="Bookman Old Style" w:hAnsi="Bookman Old Style"/>
          <w:sz w:val="24"/>
          <w:szCs w:val="24"/>
        </w:rPr>
      </w:pPr>
      <w:r>
        <w:rPr>
          <w:rFonts w:ascii="Bookman Old Style" w:hAnsi="Bookman Old Style"/>
          <w:sz w:val="24"/>
          <w:szCs w:val="24"/>
        </w:rPr>
        <w:t>Clarifies that nothing in this provision shall be construed to establish a national gun registry.</w:t>
      </w:r>
    </w:p>
    <w:p w14:paraId="10943CF5" w14:textId="77777777" w:rsidR="00C95E90" w:rsidRPr="002D6F2D" w:rsidRDefault="00C95E90" w:rsidP="002D6F2D">
      <w:pPr>
        <w:spacing w:before="20" w:after="20"/>
        <w:textAlignment w:val="baseline"/>
        <w:rPr>
          <w:rFonts w:ascii="Bookman Old Style" w:eastAsia="Times New Roman" w:hAnsi="Bookman Old Style"/>
          <w:sz w:val="24"/>
          <w:szCs w:val="24"/>
        </w:rPr>
      </w:pPr>
    </w:p>
    <w:p w14:paraId="21F338E1" w14:textId="77777777" w:rsidR="00C95E90" w:rsidRDefault="00C95E90" w:rsidP="00C95E90">
      <w:pPr>
        <w:pStyle w:val="ListParagraph"/>
        <w:rPr>
          <w:rFonts w:ascii="Bookman Old Style" w:hAnsi="Bookman Old Style"/>
          <w:sz w:val="24"/>
          <w:szCs w:val="24"/>
        </w:rPr>
      </w:pPr>
    </w:p>
    <w:p w14:paraId="0AD9DA38" w14:textId="77777777" w:rsidR="00C95E90" w:rsidRDefault="00C95E90" w:rsidP="00C95E90">
      <w:pPr>
        <w:rPr>
          <w:rFonts w:ascii="Bookman Old Style" w:hAnsi="Bookman Old Style"/>
          <w:b/>
          <w:bCs/>
          <w:sz w:val="24"/>
          <w:szCs w:val="24"/>
        </w:rPr>
      </w:pPr>
      <w:r>
        <w:rPr>
          <w:rFonts w:ascii="Bookman Old Style" w:hAnsi="Bookman Old Style"/>
          <w:b/>
          <w:bCs/>
          <w:sz w:val="24"/>
          <w:szCs w:val="24"/>
        </w:rPr>
        <w:t xml:space="preserve">Sec. </w:t>
      </w:r>
      <w:r w:rsidR="00BF007C">
        <w:rPr>
          <w:rFonts w:ascii="Bookman Old Style" w:hAnsi="Bookman Old Style"/>
          <w:b/>
          <w:bCs/>
          <w:sz w:val="24"/>
          <w:szCs w:val="24"/>
        </w:rPr>
        <w:t>1200</w:t>
      </w:r>
      <w:r>
        <w:rPr>
          <w:rFonts w:ascii="Bookman Old Style" w:hAnsi="Bookman Old Style"/>
          <w:b/>
          <w:bCs/>
          <w:sz w:val="24"/>
          <w:szCs w:val="24"/>
        </w:rPr>
        <w:t xml:space="preserve">5. </w:t>
      </w:r>
      <w:r w:rsidR="00240F25">
        <w:rPr>
          <w:rFonts w:ascii="Bookman Old Style" w:hAnsi="Bookman Old Style"/>
          <w:b/>
          <w:bCs/>
          <w:sz w:val="24"/>
          <w:szCs w:val="24"/>
        </w:rPr>
        <w:t>Misdemeanor crime of domestic violence</w:t>
      </w:r>
    </w:p>
    <w:p w14:paraId="62955EF3" w14:textId="77777777" w:rsidR="00C95E90" w:rsidRDefault="00C95E90" w:rsidP="00C95E90">
      <w:pPr>
        <w:rPr>
          <w:rFonts w:ascii="Bookman Old Style" w:hAnsi="Bookman Old Style"/>
          <w:sz w:val="24"/>
          <w:szCs w:val="24"/>
        </w:rPr>
      </w:pPr>
    </w:p>
    <w:p w14:paraId="17686A7E" w14:textId="77777777" w:rsidR="00C95E90" w:rsidRDefault="00C95E90" w:rsidP="00C95E90">
      <w:pPr>
        <w:pStyle w:val="ListParagraph"/>
        <w:numPr>
          <w:ilvl w:val="0"/>
          <w:numId w:val="16"/>
        </w:numPr>
        <w:rPr>
          <w:rFonts w:ascii="Bookman Old Style" w:hAnsi="Bookman Old Style"/>
          <w:sz w:val="24"/>
          <w:szCs w:val="24"/>
        </w:rPr>
      </w:pPr>
      <w:r>
        <w:rPr>
          <w:rFonts w:ascii="Bookman Old Style" w:hAnsi="Bookman Old Style"/>
          <w:sz w:val="24"/>
          <w:szCs w:val="24"/>
        </w:rPr>
        <w:t>Updates the definition of “misdemeanor crime of domestic violence” to include individuals who have (or have had) a current or recent continuing serious relationship of a romantic or intimate nature with their victim.</w:t>
      </w:r>
      <w:r w:rsidR="002D6F2D">
        <w:rPr>
          <w:rFonts w:ascii="Bookman Old Style" w:hAnsi="Bookman Old Style"/>
          <w:sz w:val="24"/>
          <w:szCs w:val="24"/>
        </w:rPr>
        <w:t xml:space="preserve"> Current law applies only to </w:t>
      </w:r>
      <w:r>
        <w:rPr>
          <w:rFonts w:ascii="Bookman Old Style" w:hAnsi="Bookman Old Style"/>
          <w:sz w:val="24"/>
          <w:szCs w:val="24"/>
        </w:rPr>
        <w:t xml:space="preserve">spouses, persons with a child in common, persons cohabitating as spouses, and persons similarly situated to spouses. </w:t>
      </w:r>
    </w:p>
    <w:p w14:paraId="1BCA31ED" w14:textId="77777777" w:rsidR="00C95E90" w:rsidRDefault="00C95E90" w:rsidP="00C95E90">
      <w:pPr>
        <w:pStyle w:val="ListParagraph"/>
        <w:rPr>
          <w:rFonts w:ascii="Bookman Old Style" w:hAnsi="Bookman Old Style"/>
          <w:sz w:val="24"/>
          <w:szCs w:val="24"/>
        </w:rPr>
      </w:pPr>
    </w:p>
    <w:p w14:paraId="36EA15E2" w14:textId="77777777" w:rsidR="00C95E90" w:rsidRDefault="00C95E90" w:rsidP="00C95E90">
      <w:pPr>
        <w:pStyle w:val="ListParagraph"/>
        <w:numPr>
          <w:ilvl w:val="0"/>
          <w:numId w:val="16"/>
        </w:numPr>
        <w:rPr>
          <w:rFonts w:ascii="Bookman Old Style" w:hAnsi="Bookman Old Style"/>
          <w:sz w:val="24"/>
          <w:szCs w:val="24"/>
        </w:rPr>
      </w:pPr>
      <w:r>
        <w:rPr>
          <w:rFonts w:ascii="Bookman Old Style" w:hAnsi="Bookman Old Style"/>
          <w:sz w:val="24"/>
          <w:szCs w:val="24"/>
        </w:rPr>
        <w:t xml:space="preserve">This provision would have no retroactive </w:t>
      </w:r>
      <w:r w:rsidR="002D6F2D">
        <w:rPr>
          <w:rFonts w:ascii="Bookman Old Style" w:hAnsi="Bookman Old Style"/>
          <w:sz w:val="24"/>
          <w:szCs w:val="24"/>
        </w:rPr>
        <w:t xml:space="preserve">application and would only apply </w:t>
      </w:r>
      <w:r>
        <w:rPr>
          <w:rFonts w:ascii="Bookman Old Style" w:hAnsi="Bookman Old Style"/>
          <w:sz w:val="24"/>
          <w:szCs w:val="24"/>
        </w:rPr>
        <w:t xml:space="preserve">to </w:t>
      </w:r>
      <w:r w:rsidR="002D6F2D">
        <w:rPr>
          <w:rFonts w:ascii="Bookman Old Style" w:hAnsi="Bookman Old Style"/>
          <w:sz w:val="24"/>
          <w:szCs w:val="24"/>
        </w:rPr>
        <w:t>current or recently ended relationships.</w:t>
      </w:r>
    </w:p>
    <w:p w14:paraId="4D564F33" w14:textId="77777777" w:rsidR="00C95E90" w:rsidRDefault="00C95E90" w:rsidP="00C95E90">
      <w:pPr>
        <w:pStyle w:val="ListParagraph"/>
        <w:rPr>
          <w:rFonts w:ascii="Bookman Old Style" w:hAnsi="Bookman Old Style"/>
          <w:sz w:val="24"/>
          <w:szCs w:val="24"/>
        </w:rPr>
      </w:pPr>
    </w:p>
    <w:p w14:paraId="0329380A" w14:textId="77777777" w:rsidR="00C95E90" w:rsidRDefault="00C95E90" w:rsidP="00C95E90">
      <w:pPr>
        <w:pStyle w:val="ListParagraph"/>
        <w:numPr>
          <w:ilvl w:val="0"/>
          <w:numId w:val="16"/>
        </w:numPr>
        <w:rPr>
          <w:rFonts w:ascii="Bookman Old Style" w:hAnsi="Bookman Old Style"/>
          <w:sz w:val="24"/>
          <w:szCs w:val="24"/>
        </w:rPr>
      </w:pPr>
      <w:r>
        <w:rPr>
          <w:rFonts w:ascii="Bookman Old Style" w:hAnsi="Bookman Old Style"/>
          <w:sz w:val="24"/>
          <w:szCs w:val="24"/>
        </w:rPr>
        <w:t>Persons convicted of a misdemeanor crime of violence against a person with whom they have (or have had) a current or recent continuing serious relationship of a romantic or intimate nature would have their right to purchase and possess firearms automatically restored after 5 years elapsed from the end of their criminal sentence if they had committed no further crimes of violence. No paperwork or government approval would be required for restoration of rights and their records would be automatically purged from NICS.</w:t>
      </w:r>
    </w:p>
    <w:p w14:paraId="5F57894F" w14:textId="77777777" w:rsidR="00240F25" w:rsidRPr="00240F25" w:rsidRDefault="00240F25" w:rsidP="00240F25">
      <w:pPr>
        <w:rPr>
          <w:rFonts w:ascii="Bookman Old Style" w:hAnsi="Bookman Old Style"/>
          <w:sz w:val="24"/>
          <w:szCs w:val="24"/>
        </w:rPr>
      </w:pPr>
    </w:p>
    <w:p w14:paraId="3C3B85F3" w14:textId="77777777" w:rsidR="00E40810" w:rsidRPr="00240F25" w:rsidRDefault="00240F25" w:rsidP="00240F25">
      <w:pPr>
        <w:rPr>
          <w:rFonts w:ascii="Bookman Old Style" w:hAnsi="Bookman Old Style"/>
          <w:b/>
          <w:sz w:val="24"/>
          <w:szCs w:val="24"/>
        </w:rPr>
      </w:pPr>
      <w:r>
        <w:rPr>
          <w:rFonts w:ascii="Bookman Old Style" w:hAnsi="Bookman Old Style"/>
          <w:b/>
          <w:sz w:val="24"/>
          <w:szCs w:val="24"/>
        </w:rPr>
        <w:t xml:space="preserve">Title III. Other Matters </w:t>
      </w:r>
    </w:p>
    <w:p w14:paraId="528E9B7C" w14:textId="77777777" w:rsidR="00E40810" w:rsidRPr="00AE43BB" w:rsidRDefault="00E40810" w:rsidP="00E40810">
      <w:pPr>
        <w:pStyle w:val="ListParagraph"/>
        <w:rPr>
          <w:rFonts w:ascii="Bookman Old Style" w:hAnsi="Bookman Old Style"/>
          <w:sz w:val="24"/>
          <w:szCs w:val="24"/>
        </w:rPr>
      </w:pPr>
    </w:p>
    <w:p w14:paraId="43EFC694" w14:textId="77777777" w:rsidR="00240F25" w:rsidRDefault="00240F25" w:rsidP="00E40810">
      <w:pPr>
        <w:rPr>
          <w:rFonts w:ascii="Bookman Old Style" w:hAnsi="Bookman Old Style"/>
          <w:sz w:val="24"/>
          <w:szCs w:val="24"/>
          <w:u w:val="single"/>
        </w:rPr>
      </w:pPr>
      <w:r>
        <w:rPr>
          <w:rFonts w:ascii="Bookman Old Style" w:hAnsi="Bookman Old Style"/>
          <w:sz w:val="24"/>
          <w:szCs w:val="24"/>
          <w:u w:val="single"/>
        </w:rPr>
        <w:t xml:space="preserve">Subtitle A—Extension of Moratorium </w:t>
      </w:r>
      <w:r w:rsidRPr="00240F25">
        <w:rPr>
          <w:rFonts w:ascii="Bookman Old Style" w:hAnsi="Bookman Old Style"/>
          <w:sz w:val="24"/>
          <w:szCs w:val="24"/>
        </w:rPr>
        <w:t>(offset)</w:t>
      </w:r>
    </w:p>
    <w:p w14:paraId="60A1F022" w14:textId="77777777" w:rsidR="00240F25" w:rsidRPr="00AE43BB" w:rsidRDefault="00240F25" w:rsidP="00E40810">
      <w:pPr>
        <w:rPr>
          <w:rFonts w:ascii="Bookman Old Style" w:hAnsi="Bookman Old Style"/>
          <w:sz w:val="24"/>
          <w:szCs w:val="24"/>
          <w:u w:val="single"/>
        </w:rPr>
      </w:pPr>
    </w:p>
    <w:p w14:paraId="3F86366C" w14:textId="77777777" w:rsidR="00E40810" w:rsidRPr="00AE43BB" w:rsidRDefault="00E40810" w:rsidP="00E40810">
      <w:pPr>
        <w:rPr>
          <w:rFonts w:ascii="Bookman Old Style" w:hAnsi="Bookman Old Style"/>
          <w:sz w:val="24"/>
          <w:szCs w:val="24"/>
        </w:rPr>
      </w:pPr>
      <w:r w:rsidRPr="00AE43BB">
        <w:rPr>
          <w:rFonts w:ascii="Bookman Old Style" w:hAnsi="Bookman Old Style" w:cs="Arial"/>
          <w:color w:val="000000"/>
          <w:sz w:val="24"/>
          <w:szCs w:val="24"/>
        </w:rPr>
        <w:t>Moratorium on implementation of rule relating to eliminating the anti-kickback statute safe harbor protection for prescription drug rebates. </w:t>
      </w:r>
    </w:p>
    <w:p w14:paraId="1AE2A08F" w14:textId="77777777" w:rsidR="00E40810" w:rsidRPr="00AE43BB" w:rsidRDefault="00E40810" w:rsidP="00E40810">
      <w:pPr>
        <w:numPr>
          <w:ilvl w:val="0"/>
          <w:numId w:val="19"/>
        </w:numPr>
        <w:textAlignment w:val="baseline"/>
        <w:rPr>
          <w:rFonts w:ascii="Bookman Old Style" w:eastAsia="Times New Roman" w:hAnsi="Bookman Old Style"/>
          <w:color w:val="000000"/>
          <w:sz w:val="24"/>
          <w:szCs w:val="24"/>
        </w:rPr>
      </w:pPr>
      <w:r w:rsidRPr="00AE43BB">
        <w:rPr>
          <w:rFonts w:ascii="Bookman Old Style" w:eastAsia="Times New Roman" w:hAnsi="Bookman Old Style" w:cs="Arial"/>
          <w:color w:val="000000"/>
          <w:sz w:val="24"/>
          <w:szCs w:val="24"/>
        </w:rPr>
        <w:t>This provision provides a one yea</w:t>
      </w:r>
      <w:r w:rsidR="00A95986">
        <w:rPr>
          <w:rFonts w:ascii="Bookman Old Style" w:eastAsia="Times New Roman" w:hAnsi="Bookman Old Style" w:cs="Arial"/>
          <w:color w:val="000000"/>
          <w:sz w:val="24"/>
          <w:szCs w:val="24"/>
        </w:rPr>
        <w:t>r delay of the Medicare Rebate R</w:t>
      </w:r>
      <w:r w:rsidRPr="00AE43BB">
        <w:rPr>
          <w:rFonts w:ascii="Bookman Old Style" w:eastAsia="Times New Roman" w:hAnsi="Bookman Old Style" w:cs="Arial"/>
          <w:color w:val="000000"/>
          <w:sz w:val="24"/>
          <w:szCs w:val="24"/>
        </w:rPr>
        <w:t>ule. CBO estimates this delay reduces federal spending by $20.9 billion.</w:t>
      </w:r>
    </w:p>
    <w:p w14:paraId="033640D4" w14:textId="77777777" w:rsidR="00E40810" w:rsidRDefault="00E40810" w:rsidP="00E40810">
      <w:pPr>
        <w:rPr>
          <w:rFonts w:ascii="Bookman Old Style" w:hAnsi="Bookman Old Style" w:cs="Times New Roman"/>
          <w:sz w:val="24"/>
          <w:szCs w:val="24"/>
        </w:rPr>
      </w:pPr>
      <w:r w:rsidRPr="00AE43BB">
        <w:rPr>
          <w:rFonts w:ascii="Bookman Old Style" w:hAnsi="Bookman Old Style" w:cs="Times New Roman"/>
          <w:sz w:val="24"/>
          <w:szCs w:val="24"/>
        </w:rPr>
        <w:t> </w:t>
      </w:r>
    </w:p>
    <w:p w14:paraId="5361C54E" w14:textId="77777777" w:rsidR="00240F25" w:rsidRDefault="00240F25" w:rsidP="00E40810">
      <w:pPr>
        <w:rPr>
          <w:rFonts w:ascii="Bookman Old Style" w:hAnsi="Bookman Old Style" w:cs="Times New Roman"/>
          <w:sz w:val="24"/>
          <w:szCs w:val="24"/>
          <w:u w:val="single"/>
        </w:rPr>
      </w:pPr>
      <w:r>
        <w:rPr>
          <w:rFonts w:ascii="Bookman Old Style" w:hAnsi="Bookman Old Style" w:cs="Times New Roman"/>
          <w:sz w:val="24"/>
          <w:szCs w:val="24"/>
          <w:u w:val="single"/>
        </w:rPr>
        <w:t>Subtitle B—Medicare Improvement Fund</w:t>
      </w:r>
    </w:p>
    <w:p w14:paraId="68DB1555" w14:textId="77777777" w:rsidR="00240F25" w:rsidRPr="00240F25" w:rsidRDefault="00240F25" w:rsidP="00E40810">
      <w:pPr>
        <w:rPr>
          <w:rFonts w:ascii="Bookman Old Style" w:hAnsi="Bookman Old Style" w:cs="Times New Roman"/>
          <w:sz w:val="24"/>
          <w:szCs w:val="24"/>
          <w:u w:val="single"/>
        </w:rPr>
      </w:pPr>
    </w:p>
    <w:p w14:paraId="37CE401C" w14:textId="77777777" w:rsidR="00E40810" w:rsidRPr="00AE43BB" w:rsidRDefault="00E40810" w:rsidP="00E40810">
      <w:pPr>
        <w:rPr>
          <w:rFonts w:ascii="Bookman Old Style" w:hAnsi="Bookman Old Style"/>
          <w:sz w:val="24"/>
          <w:szCs w:val="24"/>
        </w:rPr>
      </w:pPr>
      <w:r w:rsidRPr="00AE43BB">
        <w:rPr>
          <w:rFonts w:ascii="Bookman Old Style" w:hAnsi="Bookman Old Style" w:cs="Arial"/>
          <w:color w:val="000000"/>
          <w:sz w:val="24"/>
          <w:szCs w:val="24"/>
        </w:rPr>
        <w:t>Medicare Improvement Fund.</w:t>
      </w:r>
    </w:p>
    <w:p w14:paraId="7E7E5107" w14:textId="77777777" w:rsidR="00240F25" w:rsidRPr="00B44E1E" w:rsidRDefault="00B44E1E" w:rsidP="00921173">
      <w:pPr>
        <w:pStyle w:val="ListParagraph"/>
        <w:numPr>
          <w:ilvl w:val="0"/>
          <w:numId w:val="20"/>
        </w:numPr>
        <w:rPr>
          <w:rFonts w:ascii="Bookman Old Style" w:hAnsi="Bookman Old Style"/>
          <w:color w:val="000000" w:themeColor="text1"/>
          <w:sz w:val="24"/>
          <w:szCs w:val="24"/>
        </w:rPr>
      </w:pPr>
      <w:r w:rsidRPr="00B44E1E">
        <w:rPr>
          <w:rFonts w:ascii="Bookman Old Style" w:hAnsi="Bookman Old Style" w:cs="Arial"/>
          <w:color w:val="000000"/>
          <w:sz w:val="24"/>
          <w:szCs w:val="24"/>
        </w:rPr>
        <w:t>This provision makes deposits</w:t>
      </w:r>
      <w:r w:rsidR="00E40810" w:rsidRPr="00B44E1E">
        <w:rPr>
          <w:rFonts w:ascii="Bookman Old Style" w:hAnsi="Bookman Old Style" w:cs="Arial"/>
          <w:color w:val="000000"/>
          <w:sz w:val="24"/>
          <w:szCs w:val="24"/>
        </w:rPr>
        <w:t xml:space="preserve"> in</w:t>
      </w:r>
      <w:r w:rsidRPr="00B44E1E">
        <w:rPr>
          <w:rFonts w:ascii="Bookman Old Style" w:hAnsi="Bookman Old Style" w:cs="Arial"/>
          <w:color w:val="000000"/>
          <w:sz w:val="24"/>
          <w:szCs w:val="24"/>
        </w:rPr>
        <w:t>to</w:t>
      </w:r>
      <w:r w:rsidR="00E40810" w:rsidRPr="00B44E1E">
        <w:rPr>
          <w:rFonts w:ascii="Bookman Old Style" w:hAnsi="Bookman Old Style" w:cs="Arial"/>
          <w:color w:val="000000"/>
          <w:sz w:val="24"/>
          <w:szCs w:val="24"/>
        </w:rPr>
        <w:t xml:space="preserve"> the Medicare Improvement Fund</w:t>
      </w:r>
      <w:r>
        <w:rPr>
          <w:rFonts w:ascii="Bookman Old Style" w:hAnsi="Bookman Old Style" w:cs="Arial"/>
          <w:color w:val="000000"/>
          <w:sz w:val="24"/>
          <w:szCs w:val="24"/>
        </w:rPr>
        <w:t xml:space="preserve"> to preserve unused offset funds from the </w:t>
      </w:r>
      <w:r w:rsidR="00A95986">
        <w:rPr>
          <w:rFonts w:ascii="Bookman Old Style" w:hAnsi="Bookman Old Style" w:cs="Arial"/>
          <w:color w:val="000000"/>
          <w:sz w:val="24"/>
          <w:szCs w:val="24"/>
        </w:rPr>
        <w:t>one-year delay of the Medicare Rebate R</w:t>
      </w:r>
      <w:r>
        <w:rPr>
          <w:rFonts w:ascii="Bookman Old Style" w:hAnsi="Bookman Old Style" w:cs="Arial"/>
          <w:color w:val="000000"/>
          <w:sz w:val="24"/>
          <w:szCs w:val="24"/>
        </w:rPr>
        <w:t>ule.</w:t>
      </w:r>
    </w:p>
    <w:p w14:paraId="4EF77819" w14:textId="77777777" w:rsidR="00B44E1E" w:rsidRPr="00B44E1E" w:rsidRDefault="00B44E1E" w:rsidP="00B44E1E">
      <w:pPr>
        <w:pStyle w:val="ListParagraph"/>
        <w:rPr>
          <w:rFonts w:ascii="Bookman Old Style" w:hAnsi="Bookman Old Style"/>
          <w:color w:val="000000" w:themeColor="text1"/>
          <w:sz w:val="24"/>
          <w:szCs w:val="24"/>
        </w:rPr>
      </w:pPr>
    </w:p>
    <w:p w14:paraId="06C728FC" w14:textId="77777777" w:rsidR="00240F25" w:rsidRPr="00240F25" w:rsidRDefault="00240F25" w:rsidP="00240F25">
      <w:pPr>
        <w:rPr>
          <w:rFonts w:ascii="Bookman Old Style" w:hAnsi="Bookman Old Style"/>
          <w:color w:val="000000" w:themeColor="text1"/>
          <w:sz w:val="24"/>
          <w:szCs w:val="24"/>
          <w:u w:val="single"/>
        </w:rPr>
      </w:pPr>
      <w:r w:rsidRPr="00240F25">
        <w:rPr>
          <w:rFonts w:ascii="Bookman Old Style" w:hAnsi="Bookman Old Style"/>
          <w:color w:val="000000" w:themeColor="text1"/>
          <w:sz w:val="24"/>
          <w:szCs w:val="24"/>
          <w:u w:val="single"/>
        </w:rPr>
        <w:t>Subtitle C—Luke and Alex School Safety Act of 2022</w:t>
      </w:r>
    </w:p>
    <w:p w14:paraId="217BED1E" w14:textId="77777777" w:rsidR="00E40810" w:rsidRPr="00240F25" w:rsidRDefault="00E40810" w:rsidP="00E40810">
      <w:pPr>
        <w:rPr>
          <w:rFonts w:ascii="Bookman Old Style" w:hAnsi="Bookman Old Style"/>
          <w:color w:val="000000" w:themeColor="text1"/>
          <w:sz w:val="24"/>
          <w:szCs w:val="24"/>
        </w:rPr>
      </w:pPr>
    </w:p>
    <w:p w14:paraId="2A4459C3" w14:textId="77777777" w:rsidR="00240F25" w:rsidRDefault="00240F25" w:rsidP="00240F25">
      <w:pPr>
        <w:spacing w:after="160"/>
        <w:rPr>
          <w:rFonts w:ascii="Bookman Old Style" w:hAnsi="Bookman Old Style" w:cs="Times New Roman"/>
          <w:color w:val="000000" w:themeColor="text1"/>
          <w:sz w:val="24"/>
          <w:szCs w:val="24"/>
        </w:rPr>
      </w:pPr>
      <w:r w:rsidRPr="00240F25">
        <w:rPr>
          <w:rFonts w:ascii="Bookman Old Style" w:hAnsi="Bookman Old Style" w:cs="Times New Roman"/>
          <w:color w:val="000000" w:themeColor="text1"/>
          <w:sz w:val="24"/>
          <w:szCs w:val="24"/>
        </w:rPr>
        <w:t xml:space="preserve">The Luke and School Alex School Safety Act codifies schooolsafety.gov, an existing school safety website housed at the Department of Homeland Security. SchoolSafety.gov was created by the federal government to provide schools and districts with actionable recommendations to create a safe and supportive learning environment where students can thrive and grow. The website also includes information on over $2 billion in grant funding opportunities and was established in 2019 by former Department of Education Secretary, Betsy DeVos. </w:t>
      </w:r>
    </w:p>
    <w:p w14:paraId="1B345AB8" w14:textId="77777777" w:rsidR="00240F25" w:rsidRDefault="00240F25" w:rsidP="00240F25">
      <w:pPr>
        <w:spacing w:after="160"/>
        <w:rPr>
          <w:rFonts w:ascii="Bookman Old Style" w:hAnsi="Bookman Old Style" w:cs="Times New Roman"/>
          <w:color w:val="000000" w:themeColor="text1"/>
          <w:sz w:val="24"/>
          <w:szCs w:val="24"/>
          <w:u w:val="single"/>
        </w:rPr>
      </w:pPr>
      <w:r>
        <w:rPr>
          <w:rFonts w:ascii="Bookman Old Style" w:hAnsi="Bookman Old Style" w:cs="Times New Roman"/>
          <w:color w:val="000000" w:themeColor="text1"/>
          <w:sz w:val="24"/>
          <w:szCs w:val="24"/>
          <w:u w:val="single"/>
        </w:rPr>
        <w:t>Subtitle D—Amendment on ESEA Funding</w:t>
      </w:r>
    </w:p>
    <w:p w14:paraId="42890642" w14:textId="77777777" w:rsidR="00240F25" w:rsidRPr="00240F25" w:rsidRDefault="00240F25" w:rsidP="00240F25">
      <w:pPr>
        <w:spacing w:after="160"/>
        <w:rPr>
          <w:rFonts w:ascii="Bookman Old Style" w:hAnsi="Bookman Old Style" w:cs="Times New Roman"/>
          <w:color w:val="000000" w:themeColor="text1"/>
          <w:sz w:val="24"/>
          <w:szCs w:val="24"/>
        </w:rPr>
      </w:pPr>
      <w:r>
        <w:rPr>
          <w:rFonts w:ascii="Bookman Old Style" w:hAnsi="Bookman Old Style" w:cs="Times New Roman"/>
          <w:color w:val="000000" w:themeColor="text1"/>
          <w:sz w:val="24"/>
          <w:szCs w:val="24"/>
        </w:rPr>
        <w:t>Prohibits use of ESEA funds for the provision of dangerous weapons.</w:t>
      </w:r>
    </w:p>
    <w:p w14:paraId="1DC1DB69" w14:textId="77777777" w:rsidR="00C95E90" w:rsidRDefault="00C95E90" w:rsidP="00C95E90">
      <w:pPr>
        <w:rPr>
          <w:rFonts w:ascii="Bookman Old Style" w:hAnsi="Bookman Old Style"/>
          <w:sz w:val="24"/>
          <w:szCs w:val="24"/>
        </w:rPr>
      </w:pPr>
    </w:p>
    <w:p w14:paraId="310AFEEC" w14:textId="77777777" w:rsidR="001F0819" w:rsidRPr="006C083C" w:rsidRDefault="001F0819" w:rsidP="00C95E90">
      <w:pPr>
        <w:rPr>
          <w:rFonts w:ascii="Bookman Old Style" w:hAnsi="Bookman Old Style"/>
          <w:sz w:val="32"/>
          <w:szCs w:val="32"/>
          <w:u w:val="single"/>
        </w:rPr>
      </w:pPr>
      <w:r w:rsidRPr="006C083C">
        <w:rPr>
          <w:rFonts w:ascii="Bookman Old Style" w:hAnsi="Bookman Old Style"/>
          <w:sz w:val="32"/>
          <w:szCs w:val="32"/>
          <w:u w:val="single"/>
        </w:rPr>
        <w:t>DIVISION B—Appropriations</w:t>
      </w:r>
    </w:p>
    <w:p w14:paraId="0DE26AEB" w14:textId="77777777" w:rsidR="001F0819" w:rsidRDefault="001F0819" w:rsidP="00C95E90">
      <w:pPr>
        <w:rPr>
          <w:rFonts w:ascii="Bookman Old Style" w:hAnsi="Bookman Old Style"/>
          <w:sz w:val="24"/>
          <w:szCs w:val="24"/>
        </w:rPr>
      </w:pPr>
    </w:p>
    <w:p w14:paraId="422C8247" w14:textId="77777777" w:rsidR="001F0819" w:rsidRPr="006C083C" w:rsidRDefault="001F0819" w:rsidP="00240F25">
      <w:pPr>
        <w:rPr>
          <w:rFonts w:ascii="Bookman Old Style" w:hAnsi="Bookman Old Style"/>
          <w:b/>
          <w:sz w:val="24"/>
          <w:szCs w:val="24"/>
        </w:rPr>
      </w:pPr>
      <w:r w:rsidRPr="006C083C">
        <w:rPr>
          <w:rFonts w:ascii="Bookman Old Style" w:hAnsi="Bookman Old Style"/>
          <w:b/>
          <w:sz w:val="24"/>
          <w:szCs w:val="24"/>
        </w:rPr>
        <w:t xml:space="preserve">Department of Justice </w:t>
      </w:r>
      <w:r w:rsidR="00C95E90" w:rsidRPr="006C083C">
        <w:rPr>
          <w:rFonts w:ascii="Bookman Old Style" w:hAnsi="Bookman Old Style"/>
          <w:b/>
          <w:sz w:val="24"/>
          <w:szCs w:val="24"/>
        </w:rPr>
        <w:t>Appropriations</w:t>
      </w:r>
    </w:p>
    <w:p w14:paraId="408EAD84" w14:textId="77777777" w:rsidR="001F0819" w:rsidRDefault="001F0819" w:rsidP="001F0819">
      <w:pPr>
        <w:pStyle w:val="ListParagraph"/>
        <w:rPr>
          <w:rFonts w:ascii="Bookman Old Style" w:hAnsi="Bookman Old Style"/>
          <w:sz w:val="24"/>
          <w:szCs w:val="24"/>
        </w:rPr>
      </w:pPr>
    </w:p>
    <w:p w14:paraId="3CA384FC" w14:textId="77777777" w:rsidR="00C95E90" w:rsidRDefault="00C95E90" w:rsidP="00C95E90">
      <w:pPr>
        <w:pStyle w:val="ListParagraph"/>
        <w:numPr>
          <w:ilvl w:val="0"/>
          <w:numId w:val="17"/>
        </w:numPr>
        <w:rPr>
          <w:rFonts w:ascii="Bookman Old Style" w:hAnsi="Bookman Old Style"/>
          <w:sz w:val="24"/>
          <w:szCs w:val="24"/>
        </w:rPr>
      </w:pPr>
      <w:r>
        <w:rPr>
          <w:rFonts w:ascii="Bookman Old Style" w:hAnsi="Bookman Old Style"/>
          <w:sz w:val="24"/>
          <w:szCs w:val="24"/>
        </w:rPr>
        <w:t>$750 million</w:t>
      </w:r>
      <w:r w:rsidR="001F0819">
        <w:rPr>
          <w:rFonts w:ascii="Bookman Old Style" w:hAnsi="Bookman Old Style"/>
          <w:sz w:val="24"/>
          <w:szCs w:val="24"/>
        </w:rPr>
        <w:t xml:space="preserve"> (over 5 years)</w:t>
      </w:r>
      <w:r>
        <w:rPr>
          <w:rFonts w:ascii="Bookman Old Style" w:hAnsi="Bookman Old Style"/>
          <w:sz w:val="24"/>
          <w:szCs w:val="24"/>
        </w:rPr>
        <w:t xml:space="preserve"> for crisis intervention programs under Byrne JAG</w:t>
      </w:r>
    </w:p>
    <w:p w14:paraId="68317DD4" w14:textId="77777777" w:rsidR="00C95E90" w:rsidRDefault="00C95E90" w:rsidP="00C95E90">
      <w:pPr>
        <w:pStyle w:val="ListParagraph"/>
        <w:rPr>
          <w:rFonts w:ascii="Bookman Old Style" w:hAnsi="Bookman Old Style"/>
          <w:sz w:val="24"/>
          <w:szCs w:val="24"/>
        </w:rPr>
      </w:pPr>
    </w:p>
    <w:p w14:paraId="4DB51664" w14:textId="77777777" w:rsidR="00C95E90" w:rsidRDefault="00C95E90" w:rsidP="00C95E90">
      <w:pPr>
        <w:pStyle w:val="ListParagraph"/>
        <w:numPr>
          <w:ilvl w:val="0"/>
          <w:numId w:val="17"/>
        </w:numPr>
        <w:rPr>
          <w:rFonts w:ascii="Bookman Old Style" w:hAnsi="Bookman Old Style"/>
          <w:sz w:val="24"/>
          <w:szCs w:val="24"/>
        </w:rPr>
      </w:pPr>
      <w:r>
        <w:rPr>
          <w:rFonts w:ascii="Bookman Old Style" w:hAnsi="Bookman Old Style"/>
          <w:sz w:val="24"/>
          <w:szCs w:val="24"/>
        </w:rPr>
        <w:t>$300 million</w:t>
      </w:r>
      <w:r w:rsidR="001F0819">
        <w:rPr>
          <w:rFonts w:ascii="Bookman Old Style" w:hAnsi="Bookman Old Style"/>
          <w:sz w:val="24"/>
          <w:szCs w:val="24"/>
        </w:rPr>
        <w:t xml:space="preserve"> (over 5 years)</w:t>
      </w:r>
      <w:r>
        <w:rPr>
          <w:rFonts w:ascii="Bookman Old Style" w:hAnsi="Bookman Old Style"/>
          <w:sz w:val="24"/>
          <w:szCs w:val="24"/>
        </w:rPr>
        <w:t xml:space="preserve"> for STOP School Violence school safety programs</w:t>
      </w:r>
      <w:r w:rsidR="00240F25">
        <w:rPr>
          <w:rFonts w:ascii="Bookman Old Style" w:hAnsi="Bookman Old Style"/>
          <w:sz w:val="24"/>
          <w:szCs w:val="24"/>
        </w:rPr>
        <w:t>, including school resource officers and school hardening</w:t>
      </w:r>
    </w:p>
    <w:p w14:paraId="3728D524" w14:textId="77777777" w:rsidR="00C95E90" w:rsidRDefault="00C95E90" w:rsidP="00C95E90">
      <w:pPr>
        <w:pStyle w:val="ListParagraph"/>
        <w:rPr>
          <w:rFonts w:ascii="Bookman Old Style" w:hAnsi="Bookman Old Style"/>
          <w:sz w:val="24"/>
          <w:szCs w:val="24"/>
        </w:rPr>
      </w:pPr>
    </w:p>
    <w:p w14:paraId="3485A59D" w14:textId="77777777" w:rsidR="00C95E90" w:rsidRDefault="00C95E90" w:rsidP="00C95E90">
      <w:pPr>
        <w:pStyle w:val="ListParagraph"/>
        <w:numPr>
          <w:ilvl w:val="0"/>
          <w:numId w:val="17"/>
        </w:numPr>
        <w:rPr>
          <w:rFonts w:ascii="Bookman Old Style" w:hAnsi="Bookman Old Style"/>
          <w:sz w:val="24"/>
          <w:szCs w:val="24"/>
        </w:rPr>
      </w:pPr>
      <w:r>
        <w:rPr>
          <w:rFonts w:ascii="Bookman Old Style" w:hAnsi="Bookman Old Style"/>
          <w:sz w:val="24"/>
          <w:szCs w:val="24"/>
        </w:rPr>
        <w:t>$200 million</w:t>
      </w:r>
      <w:r w:rsidR="001F0819">
        <w:rPr>
          <w:rFonts w:ascii="Bookman Old Style" w:hAnsi="Bookman Old Style"/>
          <w:sz w:val="24"/>
          <w:szCs w:val="24"/>
        </w:rPr>
        <w:t xml:space="preserve"> (over 5 years)</w:t>
      </w:r>
      <w:r>
        <w:rPr>
          <w:rFonts w:ascii="Bookman Old Style" w:hAnsi="Bookman Old Style"/>
          <w:sz w:val="24"/>
          <w:szCs w:val="24"/>
        </w:rPr>
        <w:t xml:space="preserve"> for NICS improvement</w:t>
      </w:r>
      <w:r w:rsidR="00240F25">
        <w:rPr>
          <w:rFonts w:ascii="Bookman Old Style" w:hAnsi="Bookman Old Style"/>
          <w:sz w:val="24"/>
          <w:szCs w:val="24"/>
        </w:rPr>
        <w:t xml:space="preserve"> and juvenile records</w:t>
      </w:r>
    </w:p>
    <w:p w14:paraId="062F4238" w14:textId="77777777" w:rsidR="00C95E90" w:rsidRDefault="00C95E90" w:rsidP="00C95E90">
      <w:pPr>
        <w:pStyle w:val="ListParagraph"/>
        <w:rPr>
          <w:rFonts w:ascii="Bookman Old Style" w:hAnsi="Bookman Old Style"/>
          <w:sz w:val="24"/>
          <w:szCs w:val="24"/>
        </w:rPr>
      </w:pPr>
    </w:p>
    <w:p w14:paraId="5E0C0B13" w14:textId="77777777" w:rsidR="00C95E90" w:rsidRDefault="00C95E90" w:rsidP="00C95E90">
      <w:pPr>
        <w:pStyle w:val="ListParagraph"/>
        <w:numPr>
          <w:ilvl w:val="0"/>
          <w:numId w:val="17"/>
        </w:numPr>
        <w:rPr>
          <w:rFonts w:ascii="Bookman Old Style" w:hAnsi="Bookman Old Style"/>
          <w:sz w:val="24"/>
          <w:szCs w:val="24"/>
        </w:rPr>
      </w:pPr>
      <w:r>
        <w:rPr>
          <w:rFonts w:ascii="Bookman Old Style" w:hAnsi="Bookman Old Style"/>
          <w:sz w:val="24"/>
          <w:szCs w:val="24"/>
        </w:rPr>
        <w:t>$250 million</w:t>
      </w:r>
      <w:r w:rsidR="001F0819">
        <w:rPr>
          <w:rFonts w:ascii="Bookman Old Style" w:hAnsi="Bookman Old Style"/>
          <w:sz w:val="24"/>
          <w:szCs w:val="24"/>
        </w:rPr>
        <w:t xml:space="preserve"> (over 5 years)</w:t>
      </w:r>
      <w:r>
        <w:rPr>
          <w:rFonts w:ascii="Bookman Old Style" w:hAnsi="Bookman Old Style"/>
          <w:sz w:val="24"/>
          <w:szCs w:val="24"/>
        </w:rPr>
        <w:t xml:space="preserve"> for community violence intervention programs</w:t>
      </w:r>
    </w:p>
    <w:p w14:paraId="0F11C29B" w14:textId="77777777" w:rsidR="00240F25" w:rsidRDefault="00240F25" w:rsidP="00240F25">
      <w:pPr>
        <w:rPr>
          <w:rFonts w:ascii="Bookman Old Style" w:hAnsi="Bookman Old Style"/>
          <w:sz w:val="24"/>
          <w:szCs w:val="24"/>
          <w:u w:val="single"/>
        </w:rPr>
      </w:pPr>
    </w:p>
    <w:p w14:paraId="37635A99" w14:textId="77777777" w:rsidR="00240F25" w:rsidRDefault="00240F25" w:rsidP="00240F25">
      <w:pPr>
        <w:pStyle w:val="ListParagraph"/>
        <w:numPr>
          <w:ilvl w:val="0"/>
          <w:numId w:val="17"/>
        </w:numPr>
        <w:rPr>
          <w:rFonts w:ascii="Bookman Old Style" w:hAnsi="Bookman Old Style"/>
          <w:sz w:val="24"/>
          <w:szCs w:val="24"/>
        </w:rPr>
      </w:pPr>
      <w:r>
        <w:rPr>
          <w:rFonts w:ascii="Bookman Old Style" w:hAnsi="Bookman Old Style"/>
          <w:sz w:val="24"/>
          <w:szCs w:val="24"/>
        </w:rPr>
        <w:t>$100 million for FBI salaries and expenses</w:t>
      </w:r>
    </w:p>
    <w:p w14:paraId="79977273" w14:textId="77777777" w:rsidR="00DA2CAB" w:rsidRPr="00DA2CAB" w:rsidRDefault="00DA2CAB" w:rsidP="00DA2CAB">
      <w:pPr>
        <w:pStyle w:val="ListParagraph"/>
        <w:rPr>
          <w:rFonts w:ascii="Bookman Old Style" w:hAnsi="Bookman Old Style"/>
          <w:sz w:val="24"/>
          <w:szCs w:val="24"/>
        </w:rPr>
      </w:pPr>
    </w:p>
    <w:p w14:paraId="420EA1EF" w14:textId="77777777" w:rsidR="00DA2CAB" w:rsidRDefault="00DA2CAB" w:rsidP="00DA2CAB">
      <w:pPr>
        <w:pStyle w:val="ListParagraph"/>
        <w:rPr>
          <w:rFonts w:ascii="Bookman Old Style" w:hAnsi="Bookman Old Style"/>
          <w:sz w:val="24"/>
          <w:szCs w:val="24"/>
        </w:rPr>
      </w:pPr>
    </w:p>
    <w:p w14:paraId="466726EA" w14:textId="77777777" w:rsidR="00C95E90" w:rsidRPr="006C083C" w:rsidRDefault="00DA2CAB" w:rsidP="00C95E90">
      <w:pPr>
        <w:rPr>
          <w:rFonts w:ascii="Bookman Old Style" w:hAnsi="Bookman Old Style"/>
          <w:b/>
          <w:sz w:val="24"/>
          <w:szCs w:val="24"/>
        </w:rPr>
      </w:pPr>
      <w:r w:rsidRPr="006C083C">
        <w:rPr>
          <w:rFonts w:ascii="Bookman Old Style" w:hAnsi="Bookman Old Style"/>
          <w:b/>
          <w:sz w:val="24"/>
          <w:szCs w:val="24"/>
        </w:rPr>
        <w:t>Department of Health and Human Services Appropriations</w:t>
      </w:r>
    </w:p>
    <w:p w14:paraId="7E4CB7B8" w14:textId="77777777" w:rsidR="00C95E90" w:rsidRDefault="00C95E90" w:rsidP="00C95E90">
      <w:pPr>
        <w:rPr>
          <w:rFonts w:ascii="Bookman Old Style" w:hAnsi="Bookman Old Style"/>
          <w:sz w:val="24"/>
          <w:szCs w:val="24"/>
        </w:rPr>
      </w:pPr>
    </w:p>
    <w:p w14:paraId="60311071" w14:textId="77777777" w:rsidR="00DA2CAB" w:rsidRDefault="00DA2CAB" w:rsidP="00DA2CAB">
      <w:pPr>
        <w:rPr>
          <w:rFonts w:ascii="Bookman Old Style" w:hAnsi="Bookman Old Style"/>
          <w:sz w:val="24"/>
          <w:szCs w:val="24"/>
        </w:rPr>
      </w:pPr>
      <w:r>
        <w:rPr>
          <w:rFonts w:ascii="Bookman Old Style" w:hAnsi="Bookman Old Style"/>
          <w:sz w:val="24"/>
          <w:szCs w:val="24"/>
        </w:rPr>
        <w:t>Mental Health Training for Primary Care Providers.</w:t>
      </w:r>
    </w:p>
    <w:p w14:paraId="5550AFF7" w14:textId="77777777" w:rsidR="00DA2CAB" w:rsidRDefault="00DA2CAB" w:rsidP="00DA2CAB">
      <w:pPr>
        <w:numPr>
          <w:ilvl w:val="0"/>
          <w:numId w:val="6"/>
        </w:numPr>
        <w:textAlignment w:val="baseline"/>
        <w:rPr>
          <w:rFonts w:ascii="Bookman Old Style" w:eastAsia="Times New Roman" w:hAnsi="Bookman Old Style"/>
          <w:sz w:val="24"/>
          <w:szCs w:val="24"/>
        </w:rPr>
      </w:pPr>
      <w:r>
        <w:rPr>
          <w:rFonts w:ascii="Bookman Old Style" w:eastAsia="Times New Roman" w:hAnsi="Bookman Old Style"/>
          <w:sz w:val="24"/>
          <w:szCs w:val="24"/>
        </w:rPr>
        <w:t>Appropriates $60 million over five year</w:t>
      </w:r>
      <w:r w:rsidR="00BF007C">
        <w:rPr>
          <w:rFonts w:ascii="Bookman Old Style" w:eastAsia="Times New Roman" w:hAnsi="Bookman Old Style"/>
          <w:sz w:val="24"/>
          <w:szCs w:val="24"/>
        </w:rPr>
        <w:t>s</w:t>
      </w:r>
      <w:r>
        <w:rPr>
          <w:rFonts w:ascii="Bookman Old Style" w:eastAsia="Times New Roman" w:hAnsi="Bookman Old Style"/>
          <w:sz w:val="24"/>
          <w:szCs w:val="24"/>
        </w:rPr>
        <w:t xml:space="preserve"> for training in mental health for primary care clinicians who treat children and youth through HRSA’s Primary Care Training and Enhancement Program.</w:t>
      </w:r>
    </w:p>
    <w:p w14:paraId="137B8CAC" w14:textId="77777777" w:rsidR="00DA2CAB" w:rsidRDefault="00DA2CAB" w:rsidP="00DA2CAB">
      <w:pPr>
        <w:rPr>
          <w:rFonts w:ascii="Bookman Old Style" w:hAnsi="Bookman Old Style"/>
          <w:sz w:val="24"/>
          <w:szCs w:val="24"/>
        </w:rPr>
      </w:pPr>
    </w:p>
    <w:p w14:paraId="05D05238" w14:textId="77777777" w:rsidR="00DA2CAB" w:rsidRDefault="00DA2CAB" w:rsidP="00DA2CAB">
      <w:pPr>
        <w:rPr>
          <w:rFonts w:ascii="Bookman Old Style" w:hAnsi="Bookman Old Style"/>
          <w:sz w:val="24"/>
          <w:szCs w:val="24"/>
        </w:rPr>
      </w:pPr>
      <w:r>
        <w:rPr>
          <w:rFonts w:ascii="Bookman Old Style" w:hAnsi="Bookman Old Style"/>
          <w:sz w:val="24"/>
          <w:szCs w:val="24"/>
        </w:rPr>
        <w:t>Pediatric Mental Health Care Access (PMCHA) grant program.</w:t>
      </w:r>
    </w:p>
    <w:p w14:paraId="23EED682" w14:textId="77777777" w:rsidR="00DA2CAB" w:rsidRDefault="00DA2CAB" w:rsidP="00DA2CAB">
      <w:pPr>
        <w:numPr>
          <w:ilvl w:val="0"/>
          <w:numId w:val="7"/>
        </w:numPr>
        <w:textAlignment w:val="baseline"/>
        <w:rPr>
          <w:rFonts w:ascii="Bookman Old Style" w:eastAsia="Times New Roman" w:hAnsi="Bookman Old Style"/>
          <w:sz w:val="24"/>
          <w:szCs w:val="24"/>
        </w:rPr>
      </w:pPr>
      <w:r>
        <w:rPr>
          <w:rFonts w:ascii="Bookman Old Style" w:eastAsia="Times New Roman" w:hAnsi="Bookman Old Style"/>
          <w:sz w:val="24"/>
          <w:szCs w:val="24"/>
        </w:rPr>
        <w:t>Appropriates $80 million over four years in HRSA to support pediatric primary care providers to rapidly access mental health specialists’ expertise in guiding the treatment of their patients.</w:t>
      </w:r>
    </w:p>
    <w:p w14:paraId="1CA7FA7E" w14:textId="77777777" w:rsidR="00DA2CAB" w:rsidRDefault="00DA2CAB" w:rsidP="00DA2CAB">
      <w:pPr>
        <w:rPr>
          <w:rFonts w:ascii="Bookman Old Style" w:hAnsi="Bookman Old Style"/>
          <w:sz w:val="24"/>
          <w:szCs w:val="24"/>
        </w:rPr>
      </w:pPr>
    </w:p>
    <w:p w14:paraId="73416F44" w14:textId="77777777" w:rsidR="00DA2CAB" w:rsidRDefault="00DA2CAB" w:rsidP="00DA2CAB">
      <w:pPr>
        <w:rPr>
          <w:rFonts w:ascii="Bookman Old Style" w:hAnsi="Bookman Old Style"/>
          <w:sz w:val="24"/>
          <w:szCs w:val="24"/>
        </w:rPr>
      </w:pPr>
      <w:r>
        <w:rPr>
          <w:rFonts w:ascii="Bookman Old Style" w:hAnsi="Bookman Old Style"/>
          <w:sz w:val="24"/>
          <w:szCs w:val="24"/>
        </w:rPr>
        <w:t>Community Mental Health Services Block Grant. </w:t>
      </w:r>
    </w:p>
    <w:p w14:paraId="30566616" w14:textId="77777777" w:rsidR="00DA2CAB" w:rsidRDefault="00DA2CAB" w:rsidP="00DA2CAB">
      <w:pPr>
        <w:numPr>
          <w:ilvl w:val="0"/>
          <w:numId w:val="8"/>
        </w:numPr>
        <w:textAlignment w:val="baseline"/>
        <w:rPr>
          <w:rFonts w:ascii="Bookman Old Style" w:eastAsia="Times New Roman" w:hAnsi="Bookman Old Style"/>
          <w:sz w:val="24"/>
          <w:szCs w:val="24"/>
        </w:rPr>
      </w:pPr>
      <w:r>
        <w:rPr>
          <w:rFonts w:ascii="Bookman Old Style" w:eastAsia="Times New Roman" w:hAnsi="Bookman Old Style"/>
          <w:sz w:val="24"/>
          <w:szCs w:val="24"/>
        </w:rPr>
        <w:t>Appropriates $250 million over four years for SAMHSA’s Community Mental Health Block Grant program that provides states, DC, and territories with flexible funding to provide comprehensive community mental health services.</w:t>
      </w:r>
    </w:p>
    <w:p w14:paraId="7D97207F" w14:textId="77777777" w:rsidR="00DA2CAB" w:rsidRDefault="00DA2CAB" w:rsidP="00DA2CAB">
      <w:pPr>
        <w:rPr>
          <w:rFonts w:ascii="Bookman Old Style" w:hAnsi="Bookman Old Style"/>
          <w:sz w:val="24"/>
          <w:szCs w:val="24"/>
        </w:rPr>
      </w:pPr>
    </w:p>
    <w:p w14:paraId="29C6A56B" w14:textId="77777777" w:rsidR="00DA2CAB" w:rsidRDefault="00DA2CAB" w:rsidP="00DA2CAB">
      <w:pPr>
        <w:rPr>
          <w:rFonts w:ascii="Bookman Old Style" w:hAnsi="Bookman Old Style"/>
          <w:sz w:val="24"/>
          <w:szCs w:val="24"/>
        </w:rPr>
      </w:pPr>
      <w:r>
        <w:rPr>
          <w:rFonts w:ascii="Bookman Old Style" w:hAnsi="Bookman Old Style"/>
          <w:sz w:val="24"/>
          <w:szCs w:val="24"/>
        </w:rPr>
        <w:t>Mental Health Awareness Training Grant Program.</w:t>
      </w:r>
    </w:p>
    <w:p w14:paraId="44C4C852" w14:textId="77777777" w:rsidR="00DA2CAB" w:rsidRDefault="00DA2CAB" w:rsidP="00DA2CAB">
      <w:pPr>
        <w:numPr>
          <w:ilvl w:val="0"/>
          <w:numId w:val="9"/>
        </w:numPr>
        <w:textAlignment w:val="baseline"/>
        <w:rPr>
          <w:rFonts w:ascii="Bookman Old Style" w:eastAsia="Times New Roman" w:hAnsi="Bookman Old Style"/>
          <w:sz w:val="24"/>
          <w:szCs w:val="24"/>
        </w:rPr>
      </w:pPr>
      <w:r>
        <w:rPr>
          <w:rFonts w:ascii="Bookman Old Style" w:eastAsia="Times New Roman" w:hAnsi="Bookman Old Style"/>
          <w:sz w:val="24"/>
          <w:szCs w:val="24"/>
        </w:rPr>
        <w:t>Appropriates $120 million over four years in SAMHSA to prepare and train community members and first responders on how to appropriately and safely respond to individuals with mental disorders.</w:t>
      </w:r>
    </w:p>
    <w:p w14:paraId="4C45D272" w14:textId="77777777" w:rsidR="00DA2CAB" w:rsidRDefault="00DA2CAB" w:rsidP="00DA2CAB">
      <w:pPr>
        <w:rPr>
          <w:rFonts w:ascii="Bookman Old Style" w:hAnsi="Bookman Old Style"/>
          <w:sz w:val="24"/>
          <w:szCs w:val="24"/>
        </w:rPr>
      </w:pPr>
    </w:p>
    <w:p w14:paraId="2DA74565" w14:textId="77777777" w:rsidR="00DA2CAB" w:rsidRDefault="00DA2CAB" w:rsidP="00DA2CAB">
      <w:pPr>
        <w:rPr>
          <w:rFonts w:ascii="Bookman Old Style" w:hAnsi="Bookman Old Style"/>
          <w:sz w:val="24"/>
          <w:szCs w:val="24"/>
        </w:rPr>
      </w:pPr>
      <w:r>
        <w:rPr>
          <w:rFonts w:ascii="Bookman Old Style" w:hAnsi="Bookman Old Style"/>
          <w:sz w:val="24"/>
          <w:szCs w:val="24"/>
        </w:rPr>
        <w:t>Project AWARE. </w:t>
      </w:r>
    </w:p>
    <w:p w14:paraId="051DEF57" w14:textId="77777777" w:rsidR="00DA2CAB" w:rsidRDefault="00DA2CAB" w:rsidP="00DA2CAB">
      <w:pPr>
        <w:numPr>
          <w:ilvl w:val="0"/>
          <w:numId w:val="10"/>
        </w:numPr>
        <w:textAlignment w:val="baseline"/>
        <w:rPr>
          <w:rFonts w:ascii="Bookman Old Style" w:eastAsia="Times New Roman" w:hAnsi="Bookman Old Style"/>
          <w:sz w:val="24"/>
          <w:szCs w:val="24"/>
        </w:rPr>
      </w:pPr>
      <w:r>
        <w:rPr>
          <w:rFonts w:ascii="Bookman Old Style" w:eastAsia="Times New Roman" w:hAnsi="Bookman Old Style"/>
          <w:sz w:val="24"/>
          <w:szCs w:val="24"/>
        </w:rPr>
        <w:t>Appropriates $240 million over four years for SAMHSA’s Project AWARE that increases awareness of mental health issues among school-aged youth, provides training for school personnel and other adults who interact with school-aged youth to detect and respond to mental health issues, and connects school-aged youth who may have behavioral health issues and their families to needed services.</w:t>
      </w:r>
    </w:p>
    <w:p w14:paraId="68738032" w14:textId="77777777" w:rsidR="00DA2CAB" w:rsidRDefault="00DA2CAB" w:rsidP="00DA2CAB">
      <w:pPr>
        <w:numPr>
          <w:ilvl w:val="1"/>
          <w:numId w:val="10"/>
        </w:numPr>
        <w:textAlignment w:val="baseline"/>
        <w:rPr>
          <w:rFonts w:ascii="Bookman Old Style" w:eastAsia="Times New Roman" w:hAnsi="Bookman Old Style"/>
          <w:sz w:val="24"/>
          <w:szCs w:val="24"/>
        </w:rPr>
      </w:pPr>
      <w:r>
        <w:rPr>
          <w:rFonts w:ascii="Bookman Old Style" w:eastAsia="Times New Roman" w:hAnsi="Bookman Old Style"/>
          <w:sz w:val="24"/>
          <w:szCs w:val="24"/>
        </w:rPr>
        <w:t>Provides a $28 million set aside for grants to support trauma care in school settings.</w:t>
      </w:r>
    </w:p>
    <w:p w14:paraId="3209E2B8" w14:textId="77777777" w:rsidR="00DA2CAB" w:rsidRDefault="00DA2CAB" w:rsidP="00DA2CAB">
      <w:pPr>
        <w:rPr>
          <w:rFonts w:ascii="Bookman Old Style" w:hAnsi="Bookman Old Style"/>
          <w:sz w:val="24"/>
          <w:szCs w:val="24"/>
        </w:rPr>
      </w:pPr>
    </w:p>
    <w:p w14:paraId="404B7D8B" w14:textId="77777777" w:rsidR="00DA2CAB" w:rsidRDefault="00DA2CAB" w:rsidP="00DA2CAB">
      <w:pPr>
        <w:rPr>
          <w:rFonts w:ascii="Bookman Old Style" w:hAnsi="Bookman Old Style"/>
          <w:sz w:val="24"/>
          <w:szCs w:val="24"/>
        </w:rPr>
      </w:pPr>
      <w:r>
        <w:rPr>
          <w:rFonts w:ascii="Bookman Old Style" w:hAnsi="Bookman Old Style"/>
          <w:sz w:val="24"/>
          <w:szCs w:val="24"/>
        </w:rPr>
        <w:t>National Child Traumatic Stress Network.</w:t>
      </w:r>
    </w:p>
    <w:p w14:paraId="2B1C0907" w14:textId="77777777" w:rsidR="00DA2CAB" w:rsidRDefault="00DA2CAB" w:rsidP="00DA2CAB">
      <w:pPr>
        <w:numPr>
          <w:ilvl w:val="0"/>
          <w:numId w:val="11"/>
        </w:numPr>
        <w:textAlignment w:val="baseline"/>
        <w:rPr>
          <w:rFonts w:ascii="Bookman Old Style" w:eastAsia="Times New Roman" w:hAnsi="Bookman Old Style"/>
          <w:sz w:val="24"/>
          <w:szCs w:val="24"/>
        </w:rPr>
      </w:pPr>
      <w:r>
        <w:rPr>
          <w:rFonts w:ascii="Bookman Old Style" w:eastAsia="Times New Roman" w:hAnsi="Bookman Old Style"/>
          <w:sz w:val="24"/>
          <w:szCs w:val="24"/>
        </w:rPr>
        <w:t>Appropriates $40 million over four years to SAMHSA’s National Child Traumatic Stress Network grant to improve treatment and services for children, adolescents, and families who have experienced traumatic events.</w:t>
      </w:r>
    </w:p>
    <w:p w14:paraId="6D93089D" w14:textId="77777777" w:rsidR="00DA2CAB" w:rsidRDefault="00DA2CAB" w:rsidP="00DA2CAB">
      <w:pPr>
        <w:rPr>
          <w:rFonts w:ascii="Bookman Old Style" w:hAnsi="Bookman Old Style"/>
          <w:sz w:val="24"/>
          <w:szCs w:val="24"/>
        </w:rPr>
      </w:pPr>
    </w:p>
    <w:p w14:paraId="3CBE5C48" w14:textId="77777777" w:rsidR="00DA2CAB" w:rsidRDefault="00DA2CAB" w:rsidP="00DA2CAB">
      <w:pPr>
        <w:rPr>
          <w:rFonts w:ascii="Bookman Old Style" w:hAnsi="Bookman Old Style"/>
          <w:sz w:val="24"/>
          <w:szCs w:val="24"/>
        </w:rPr>
      </w:pPr>
      <w:r>
        <w:rPr>
          <w:rFonts w:ascii="Bookman Old Style" w:hAnsi="Bookman Old Style"/>
          <w:sz w:val="24"/>
          <w:szCs w:val="24"/>
        </w:rPr>
        <w:t>Suicide Prevention (988).</w:t>
      </w:r>
    </w:p>
    <w:p w14:paraId="6DE709B3" w14:textId="77777777" w:rsidR="00DA2CAB" w:rsidRPr="00AE43BB" w:rsidRDefault="00DA2CAB" w:rsidP="00DA2CAB">
      <w:pPr>
        <w:numPr>
          <w:ilvl w:val="0"/>
          <w:numId w:val="12"/>
        </w:numPr>
        <w:textAlignment w:val="baseline"/>
        <w:rPr>
          <w:rFonts w:ascii="Bookman Old Style" w:eastAsia="Times New Roman" w:hAnsi="Bookman Old Style"/>
          <w:sz w:val="24"/>
          <w:szCs w:val="24"/>
        </w:rPr>
      </w:pPr>
      <w:r>
        <w:rPr>
          <w:rFonts w:ascii="Bookman Old Style" w:eastAsia="Times New Roman" w:hAnsi="Bookman Old Style"/>
          <w:sz w:val="24"/>
          <w:szCs w:val="24"/>
        </w:rPr>
        <w:t xml:space="preserve">Appropriates $150 million in one-time funding to support implementation of the 9-8-8 Suicide and Crisis Lifeline that provides 24/7, free, and confidential support to people in suicidal crisis or </w:t>
      </w:r>
      <w:r w:rsidRPr="00AE43BB">
        <w:rPr>
          <w:rFonts w:ascii="Bookman Old Style" w:eastAsia="Times New Roman" w:hAnsi="Bookman Old Style"/>
          <w:sz w:val="24"/>
          <w:szCs w:val="24"/>
        </w:rPr>
        <w:t>emotional distress.</w:t>
      </w:r>
    </w:p>
    <w:p w14:paraId="536C062C" w14:textId="77777777" w:rsidR="001F0819" w:rsidRPr="00AE43BB" w:rsidRDefault="001F0819" w:rsidP="00C95E90">
      <w:pPr>
        <w:rPr>
          <w:rFonts w:ascii="Bookman Old Style" w:hAnsi="Bookman Old Style" w:cs="Times New Roman"/>
          <w:bCs/>
          <w:sz w:val="28"/>
          <w:szCs w:val="28"/>
          <w:u w:val="single"/>
        </w:rPr>
      </w:pPr>
    </w:p>
    <w:p w14:paraId="7235A06C" w14:textId="77777777" w:rsidR="00DA2CAB" w:rsidRPr="006C083C" w:rsidRDefault="00DA2CAB" w:rsidP="00C95E90">
      <w:pPr>
        <w:rPr>
          <w:rFonts w:ascii="Bookman Old Style" w:hAnsi="Bookman Old Style" w:cs="Times New Roman"/>
          <w:bCs/>
          <w:sz w:val="24"/>
          <w:szCs w:val="24"/>
          <w:u w:val="single"/>
        </w:rPr>
      </w:pPr>
    </w:p>
    <w:p w14:paraId="0E58324B" w14:textId="77777777" w:rsidR="00AE43BB" w:rsidRPr="006C083C" w:rsidRDefault="00AE43BB" w:rsidP="00C95E90">
      <w:pPr>
        <w:rPr>
          <w:rFonts w:ascii="Bookman Old Style" w:hAnsi="Bookman Old Style" w:cs="Times New Roman"/>
          <w:b/>
          <w:bCs/>
          <w:sz w:val="24"/>
          <w:szCs w:val="24"/>
        </w:rPr>
      </w:pPr>
      <w:r w:rsidRPr="006C083C">
        <w:rPr>
          <w:rFonts w:ascii="Bookman Old Style" w:hAnsi="Bookman Old Style" w:cs="Times New Roman"/>
          <w:b/>
          <w:bCs/>
          <w:sz w:val="24"/>
          <w:szCs w:val="24"/>
        </w:rPr>
        <w:t>Department of Education Appropriations</w:t>
      </w:r>
    </w:p>
    <w:p w14:paraId="688E1FD1" w14:textId="77777777" w:rsidR="00240F25" w:rsidRPr="00AE43BB" w:rsidRDefault="00240F25" w:rsidP="00C95E90">
      <w:pPr>
        <w:rPr>
          <w:rFonts w:ascii="Bookman Old Style" w:hAnsi="Bookman Old Style" w:cs="Times New Roman"/>
          <w:bCs/>
          <w:sz w:val="28"/>
          <w:szCs w:val="28"/>
          <w:u w:val="single"/>
        </w:rPr>
      </w:pPr>
    </w:p>
    <w:p w14:paraId="2F677416" w14:textId="77777777" w:rsidR="00AE43BB" w:rsidRPr="00AE43BB" w:rsidRDefault="00AE43BB" w:rsidP="00AE43BB">
      <w:pPr>
        <w:pStyle w:val="ListParagraph"/>
        <w:numPr>
          <w:ilvl w:val="0"/>
          <w:numId w:val="18"/>
        </w:numPr>
        <w:spacing w:after="160"/>
        <w:rPr>
          <w:rFonts w:ascii="Bookman Old Style" w:hAnsi="Bookman Old Style" w:cs="Times New Roman"/>
          <w:sz w:val="24"/>
          <w:szCs w:val="24"/>
        </w:rPr>
      </w:pPr>
      <w:r w:rsidRPr="00AE43BB">
        <w:rPr>
          <w:rFonts w:ascii="Bookman Old Style" w:hAnsi="Bookman Old Style" w:cs="Times New Roman"/>
          <w:sz w:val="24"/>
          <w:szCs w:val="24"/>
        </w:rPr>
        <w:t>$1 Billion to increase funding for Safe and Healthy Students Programs</w:t>
      </w:r>
    </w:p>
    <w:p w14:paraId="2EDD3DB2" w14:textId="77777777" w:rsidR="00AE43BB" w:rsidRPr="00AE43BB" w:rsidRDefault="00AE43BB" w:rsidP="00AE43BB">
      <w:pPr>
        <w:pStyle w:val="ListParagraph"/>
        <w:numPr>
          <w:ilvl w:val="1"/>
          <w:numId w:val="18"/>
        </w:numPr>
        <w:spacing w:after="160"/>
        <w:rPr>
          <w:rFonts w:ascii="Bookman Old Style" w:hAnsi="Bookman Old Style" w:cs="Times New Roman"/>
          <w:sz w:val="24"/>
          <w:szCs w:val="24"/>
        </w:rPr>
      </w:pPr>
      <w:r w:rsidRPr="00AE43BB">
        <w:rPr>
          <w:rFonts w:ascii="Bookman Old Style" w:hAnsi="Bookman Old Style" w:cs="Times New Roman"/>
          <w:sz w:val="24"/>
          <w:szCs w:val="24"/>
        </w:rPr>
        <w:t>Provides states with a one-time infusion of $1B under Title IV-A, Sec 4108 of the Elementary and Secondary Education Act (ESEA) to keep students safe and healthy. State and locally-determined services include, but are not limited to, mental health resources, drug and vi</w:t>
      </w:r>
      <w:r w:rsidR="00BF007C">
        <w:rPr>
          <w:rFonts w:ascii="Bookman Old Style" w:hAnsi="Bookman Old Style" w:cs="Times New Roman"/>
          <w:sz w:val="24"/>
          <w:szCs w:val="24"/>
        </w:rPr>
        <w:t xml:space="preserve">olence prevention, mentoring, </w:t>
      </w:r>
      <w:r w:rsidRPr="00AE43BB">
        <w:rPr>
          <w:rFonts w:ascii="Bookman Old Style" w:hAnsi="Bookman Old Style" w:cs="Times New Roman"/>
          <w:sz w:val="24"/>
          <w:szCs w:val="24"/>
        </w:rPr>
        <w:t>crisis intervention, and high-quality training for school personnel on suicide prevention and human trafficking.  Funds available until March 1, 2023.</w:t>
      </w:r>
    </w:p>
    <w:p w14:paraId="78949700" w14:textId="77777777" w:rsidR="00AE43BB" w:rsidRPr="00AE43BB" w:rsidRDefault="00AE43BB" w:rsidP="00AE43BB">
      <w:pPr>
        <w:pStyle w:val="ListParagraph"/>
        <w:spacing w:after="160"/>
        <w:ind w:left="1440"/>
        <w:rPr>
          <w:rFonts w:ascii="Bookman Old Style" w:hAnsi="Bookman Old Style" w:cs="Times New Roman"/>
          <w:sz w:val="24"/>
          <w:szCs w:val="24"/>
        </w:rPr>
      </w:pPr>
    </w:p>
    <w:p w14:paraId="7771C3D2" w14:textId="77777777" w:rsidR="00AE43BB" w:rsidRPr="00AE43BB" w:rsidRDefault="00AE43BB" w:rsidP="00AE43BB">
      <w:pPr>
        <w:pStyle w:val="ListParagraph"/>
        <w:numPr>
          <w:ilvl w:val="0"/>
          <w:numId w:val="18"/>
        </w:numPr>
        <w:spacing w:after="160"/>
        <w:rPr>
          <w:rFonts w:ascii="Bookman Old Style" w:hAnsi="Bookman Old Style" w:cs="Times New Roman"/>
          <w:sz w:val="24"/>
          <w:szCs w:val="24"/>
        </w:rPr>
      </w:pPr>
      <w:r w:rsidRPr="00AE43BB">
        <w:rPr>
          <w:rFonts w:ascii="Bookman Old Style" w:hAnsi="Bookman Old Style" w:cs="Times New Roman"/>
          <w:sz w:val="24"/>
          <w:szCs w:val="24"/>
        </w:rPr>
        <w:t>$50 Million to improve and expand academic enrichment and youth development</w:t>
      </w:r>
    </w:p>
    <w:p w14:paraId="627253FC" w14:textId="77777777" w:rsidR="00AE43BB" w:rsidRPr="00AE43BB" w:rsidRDefault="00AE43BB" w:rsidP="00AE43BB">
      <w:pPr>
        <w:pStyle w:val="ListParagraph"/>
        <w:numPr>
          <w:ilvl w:val="1"/>
          <w:numId w:val="18"/>
        </w:numPr>
        <w:spacing w:after="160"/>
        <w:rPr>
          <w:rFonts w:ascii="Bookman Old Style" w:hAnsi="Bookman Old Style" w:cs="Times New Roman"/>
          <w:sz w:val="24"/>
          <w:szCs w:val="24"/>
        </w:rPr>
      </w:pPr>
      <w:r w:rsidRPr="00AE43BB">
        <w:rPr>
          <w:rFonts w:ascii="Bookman Old Style" w:hAnsi="Bookman Old Style" w:cs="Times New Roman"/>
          <w:sz w:val="24"/>
          <w:szCs w:val="24"/>
        </w:rPr>
        <w:t>Provides states with a one-time infusion of $50 million under Title IV-B to improve and expand 21</w:t>
      </w:r>
      <w:r w:rsidRPr="00AE43BB">
        <w:rPr>
          <w:rFonts w:ascii="Bookman Old Style" w:hAnsi="Bookman Old Style" w:cs="Times New Roman"/>
          <w:sz w:val="24"/>
          <w:szCs w:val="24"/>
          <w:vertAlign w:val="superscript"/>
        </w:rPr>
        <w:t>st</w:t>
      </w:r>
      <w:r w:rsidRPr="00AE43BB">
        <w:rPr>
          <w:rFonts w:ascii="Bookman Old Style" w:hAnsi="Bookman Old Style" w:cs="Times New Roman"/>
          <w:sz w:val="24"/>
          <w:szCs w:val="24"/>
        </w:rPr>
        <w:t xml:space="preserve"> Century Community Learning Center programs, which serve youth during non-school hours by providing academic enrichment and youth development opportunities. Recipients of these funds help students from lower-income households participate in after-school programming connecting them to community organizations such as the YMCA and Boys and Girls Clubs. Funds available until March 1, 2023.</w:t>
      </w:r>
    </w:p>
    <w:p w14:paraId="570CDEC2" w14:textId="77777777" w:rsidR="00AE43BB" w:rsidRPr="00AE43BB" w:rsidRDefault="00AE43BB" w:rsidP="00AE43BB">
      <w:pPr>
        <w:pStyle w:val="ListParagraph"/>
        <w:spacing w:after="160"/>
        <w:ind w:left="1440"/>
        <w:rPr>
          <w:rFonts w:ascii="Bookman Old Style" w:hAnsi="Bookman Old Style" w:cs="Times New Roman"/>
          <w:sz w:val="24"/>
          <w:szCs w:val="24"/>
        </w:rPr>
      </w:pPr>
    </w:p>
    <w:p w14:paraId="23CAAE1E" w14:textId="77777777" w:rsidR="00AE43BB" w:rsidRPr="00AE43BB" w:rsidRDefault="00AE43BB" w:rsidP="00AE43BB">
      <w:pPr>
        <w:pStyle w:val="ListParagraph"/>
        <w:numPr>
          <w:ilvl w:val="0"/>
          <w:numId w:val="18"/>
        </w:numPr>
        <w:spacing w:after="160"/>
        <w:rPr>
          <w:rFonts w:ascii="Bookman Old Style" w:hAnsi="Bookman Old Style" w:cs="Times New Roman"/>
          <w:sz w:val="24"/>
          <w:szCs w:val="24"/>
        </w:rPr>
      </w:pPr>
      <w:r w:rsidRPr="00AE43BB">
        <w:rPr>
          <w:rFonts w:ascii="Bookman Old Style" w:hAnsi="Bookman Old Style" w:cs="Times New Roman"/>
          <w:sz w:val="24"/>
          <w:szCs w:val="24"/>
        </w:rPr>
        <w:t>$500 million to expand School-Based Mental Health Services</w:t>
      </w:r>
    </w:p>
    <w:p w14:paraId="31866F1E" w14:textId="77777777" w:rsidR="00AE43BB" w:rsidRPr="00AE43BB" w:rsidRDefault="00AE43BB" w:rsidP="00AE43BB">
      <w:pPr>
        <w:pStyle w:val="ListParagraph"/>
        <w:numPr>
          <w:ilvl w:val="1"/>
          <w:numId w:val="18"/>
        </w:numPr>
        <w:spacing w:after="160"/>
        <w:rPr>
          <w:rFonts w:ascii="Bookman Old Style" w:hAnsi="Bookman Old Style" w:cs="Times New Roman"/>
          <w:sz w:val="24"/>
          <w:szCs w:val="24"/>
        </w:rPr>
      </w:pPr>
      <w:r w:rsidRPr="00AE43BB">
        <w:rPr>
          <w:rFonts w:ascii="Bookman Old Style" w:hAnsi="Bookman Old Style" w:cs="Times New Roman"/>
          <w:sz w:val="24"/>
          <w:szCs w:val="24"/>
        </w:rPr>
        <w:t>The School-Based Mental Health Services Grants, established under the Trump Administration, program provides competitive grants to States to increase the number of and reduce the turnover of qualified mental health service providers who provide school-based mental health services to students in school districts with demonstrated need. Funds available until March 1, 2023.</w:t>
      </w:r>
    </w:p>
    <w:p w14:paraId="0D61B0E9" w14:textId="77777777" w:rsidR="00AE43BB" w:rsidRPr="00AE43BB" w:rsidRDefault="00AE43BB" w:rsidP="00AE43BB">
      <w:pPr>
        <w:pStyle w:val="ListParagraph"/>
        <w:spacing w:after="160"/>
        <w:ind w:left="1440"/>
        <w:rPr>
          <w:rFonts w:ascii="Bookman Old Style" w:hAnsi="Bookman Old Style" w:cs="Times New Roman"/>
          <w:sz w:val="24"/>
          <w:szCs w:val="24"/>
        </w:rPr>
      </w:pPr>
    </w:p>
    <w:p w14:paraId="77CC9A68" w14:textId="77777777" w:rsidR="00AE43BB" w:rsidRPr="00AE43BB" w:rsidRDefault="00BF007C" w:rsidP="00AE43BB">
      <w:pPr>
        <w:pStyle w:val="ListParagraph"/>
        <w:numPr>
          <w:ilvl w:val="0"/>
          <w:numId w:val="18"/>
        </w:numPr>
        <w:spacing w:after="160"/>
        <w:rPr>
          <w:rFonts w:ascii="Bookman Old Style" w:hAnsi="Bookman Old Style" w:cs="Times New Roman"/>
          <w:sz w:val="24"/>
          <w:szCs w:val="24"/>
        </w:rPr>
      </w:pPr>
      <w:r>
        <w:rPr>
          <w:rFonts w:ascii="Bookman Old Style" w:hAnsi="Bookman Old Style" w:cs="Times New Roman"/>
          <w:sz w:val="24"/>
          <w:szCs w:val="24"/>
        </w:rPr>
        <w:t>$500 m</w:t>
      </w:r>
      <w:r w:rsidR="00AE43BB" w:rsidRPr="00AE43BB">
        <w:rPr>
          <w:rFonts w:ascii="Bookman Old Style" w:hAnsi="Bookman Old Style" w:cs="Times New Roman"/>
          <w:sz w:val="24"/>
          <w:szCs w:val="24"/>
        </w:rPr>
        <w:t>illion to Increase School-Based Mental Health Professionals Pipeline</w:t>
      </w:r>
    </w:p>
    <w:p w14:paraId="7F4C77B8" w14:textId="77777777" w:rsidR="00AE43BB" w:rsidRPr="00AE43BB" w:rsidRDefault="00AE43BB" w:rsidP="00C95E90">
      <w:pPr>
        <w:pStyle w:val="ListParagraph"/>
        <w:numPr>
          <w:ilvl w:val="1"/>
          <w:numId w:val="18"/>
        </w:numPr>
        <w:spacing w:after="160"/>
        <w:rPr>
          <w:rFonts w:ascii="Bookman Old Style" w:hAnsi="Bookman Old Style" w:cs="Times New Roman"/>
          <w:sz w:val="24"/>
          <w:szCs w:val="24"/>
        </w:rPr>
      </w:pPr>
      <w:r w:rsidRPr="00AE43BB">
        <w:rPr>
          <w:rFonts w:ascii="Bookman Old Style" w:hAnsi="Bookman Old Style" w:cs="Times New Roman"/>
          <w:sz w:val="24"/>
          <w:szCs w:val="24"/>
        </w:rPr>
        <w:t>Funding to expand the School-Based Mental Health Services Professional Demonstration Grant. The Mental Health Service Professional Demonstration Grant Program School, established under the Trump Administration, provides c</w:t>
      </w:r>
      <w:r w:rsidR="00BF007C">
        <w:rPr>
          <w:rFonts w:ascii="Bookman Old Style" w:hAnsi="Bookman Old Style" w:cs="Times New Roman"/>
          <w:sz w:val="24"/>
          <w:szCs w:val="24"/>
        </w:rPr>
        <w:t xml:space="preserve">ompetitive grants to support </w:t>
      </w:r>
      <w:r w:rsidRPr="00AE43BB">
        <w:rPr>
          <w:rFonts w:ascii="Bookman Old Style" w:hAnsi="Bookman Old Style" w:cs="Times New Roman"/>
          <w:sz w:val="24"/>
          <w:szCs w:val="24"/>
        </w:rPr>
        <w:t>innovative partnerships between institutions of higher education and school districts to prepare school-based mental health service providers for employment in high-need schools. Funds available until March 1, 2023.</w:t>
      </w:r>
    </w:p>
    <w:p w14:paraId="3399DC6F" w14:textId="77777777" w:rsidR="00254FE0" w:rsidRDefault="005219BD"/>
    <w:sectPr w:rsidR="00254FE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B8B86" w14:textId="77777777" w:rsidR="00493E95" w:rsidRDefault="00493E95" w:rsidP="006C083C">
      <w:r>
        <w:separator/>
      </w:r>
    </w:p>
  </w:endnote>
  <w:endnote w:type="continuationSeparator" w:id="0">
    <w:p w14:paraId="44FA39C8" w14:textId="77777777" w:rsidR="00493E95" w:rsidRDefault="00493E95" w:rsidP="006C0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0876597"/>
      <w:docPartObj>
        <w:docPartGallery w:val="Page Numbers (Bottom of Page)"/>
        <w:docPartUnique/>
      </w:docPartObj>
    </w:sdtPr>
    <w:sdtEndPr>
      <w:rPr>
        <w:noProof/>
      </w:rPr>
    </w:sdtEndPr>
    <w:sdtContent>
      <w:p w14:paraId="41011DD3" w14:textId="77777777" w:rsidR="006C083C" w:rsidRDefault="006C083C">
        <w:pPr>
          <w:pStyle w:val="Footer"/>
          <w:jc w:val="center"/>
        </w:pPr>
        <w:r>
          <w:fldChar w:fldCharType="begin"/>
        </w:r>
        <w:r>
          <w:instrText xml:space="preserve"> PAGE   \* MERGEFORMAT </w:instrText>
        </w:r>
        <w:r>
          <w:fldChar w:fldCharType="separate"/>
        </w:r>
        <w:r w:rsidR="00A95986">
          <w:rPr>
            <w:noProof/>
          </w:rPr>
          <w:t>10</w:t>
        </w:r>
        <w:r>
          <w:rPr>
            <w:noProof/>
          </w:rPr>
          <w:fldChar w:fldCharType="end"/>
        </w:r>
      </w:p>
    </w:sdtContent>
  </w:sdt>
  <w:p w14:paraId="62E208AF" w14:textId="77777777" w:rsidR="006C083C" w:rsidRDefault="006C08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A5B47" w14:textId="77777777" w:rsidR="00493E95" w:rsidRDefault="00493E95" w:rsidP="006C083C">
      <w:r>
        <w:separator/>
      </w:r>
    </w:p>
  </w:footnote>
  <w:footnote w:type="continuationSeparator" w:id="0">
    <w:p w14:paraId="4C8E32A8" w14:textId="77777777" w:rsidR="00493E95" w:rsidRDefault="00493E95" w:rsidP="006C08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B52E5"/>
    <w:multiLevelType w:val="multilevel"/>
    <w:tmpl w:val="DFE4AD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1658A9"/>
    <w:multiLevelType w:val="multilevel"/>
    <w:tmpl w:val="254C19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DA1A6E"/>
    <w:multiLevelType w:val="hybridMultilevel"/>
    <w:tmpl w:val="560C8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6575491"/>
    <w:multiLevelType w:val="multilevel"/>
    <w:tmpl w:val="F38A7A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AA3D3D"/>
    <w:multiLevelType w:val="hybridMultilevel"/>
    <w:tmpl w:val="42589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858306B"/>
    <w:multiLevelType w:val="multilevel"/>
    <w:tmpl w:val="81DA1A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A207C0"/>
    <w:multiLevelType w:val="hybridMultilevel"/>
    <w:tmpl w:val="11CE5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2D573B6"/>
    <w:multiLevelType w:val="multilevel"/>
    <w:tmpl w:val="998C05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0C2070"/>
    <w:multiLevelType w:val="multilevel"/>
    <w:tmpl w:val="20A4A3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1D5046"/>
    <w:multiLevelType w:val="hybridMultilevel"/>
    <w:tmpl w:val="C5C22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C987BDD"/>
    <w:multiLevelType w:val="multilevel"/>
    <w:tmpl w:val="588445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615283"/>
    <w:multiLevelType w:val="multilevel"/>
    <w:tmpl w:val="504AA3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5A3CE9"/>
    <w:multiLevelType w:val="hybridMultilevel"/>
    <w:tmpl w:val="1146EC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36362A7"/>
    <w:multiLevelType w:val="hybridMultilevel"/>
    <w:tmpl w:val="C7E4F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42E5805"/>
    <w:multiLevelType w:val="multilevel"/>
    <w:tmpl w:val="F84E5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BA0898"/>
    <w:multiLevelType w:val="multilevel"/>
    <w:tmpl w:val="BAF620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20600E"/>
    <w:multiLevelType w:val="multilevel"/>
    <w:tmpl w:val="78E42F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A4E7A9D"/>
    <w:multiLevelType w:val="multilevel"/>
    <w:tmpl w:val="6128D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B06769D"/>
    <w:multiLevelType w:val="hybridMultilevel"/>
    <w:tmpl w:val="84FE70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E777246"/>
    <w:multiLevelType w:val="multilevel"/>
    <w:tmpl w:val="75EC73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119573002">
    <w:abstractNumId w:val="3"/>
  </w:num>
  <w:num w:numId="2" w16cid:durableId="221675471">
    <w:abstractNumId w:val="11"/>
  </w:num>
  <w:num w:numId="3" w16cid:durableId="1167132399">
    <w:abstractNumId w:val="10"/>
  </w:num>
  <w:num w:numId="4" w16cid:durableId="1017384851">
    <w:abstractNumId w:val="17"/>
  </w:num>
  <w:num w:numId="5" w16cid:durableId="1719478197">
    <w:abstractNumId w:val="19"/>
  </w:num>
  <w:num w:numId="6" w16cid:durableId="1686634943">
    <w:abstractNumId w:val="7"/>
  </w:num>
  <w:num w:numId="7" w16cid:durableId="973604174">
    <w:abstractNumId w:val="15"/>
  </w:num>
  <w:num w:numId="8" w16cid:durableId="73746484">
    <w:abstractNumId w:val="0"/>
  </w:num>
  <w:num w:numId="9" w16cid:durableId="360128618">
    <w:abstractNumId w:val="16"/>
  </w:num>
  <w:num w:numId="10" w16cid:durableId="1168206949">
    <w:abstractNumId w:val="14"/>
  </w:num>
  <w:num w:numId="11" w16cid:durableId="1151337009">
    <w:abstractNumId w:val="1"/>
  </w:num>
  <w:num w:numId="12" w16cid:durableId="2085948264">
    <w:abstractNumId w:val="5"/>
  </w:num>
  <w:num w:numId="13" w16cid:durableId="614216170">
    <w:abstractNumId w:val="4"/>
  </w:num>
  <w:num w:numId="14" w16cid:durableId="1340885927">
    <w:abstractNumId w:val="12"/>
  </w:num>
  <w:num w:numId="15" w16cid:durableId="64380199">
    <w:abstractNumId w:val="2"/>
  </w:num>
  <w:num w:numId="16" w16cid:durableId="350184008">
    <w:abstractNumId w:val="9"/>
  </w:num>
  <w:num w:numId="17" w16cid:durableId="1329140401">
    <w:abstractNumId w:val="6"/>
  </w:num>
  <w:num w:numId="18" w16cid:durableId="1923905644">
    <w:abstractNumId w:val="18"/>
  </w:num>
  <w:num w:numId="19" w16cid:durableId="908072422">
    <w:abstractNumId w:val="8"/>
  </w:num>
  <w:num w:numId="20" w16cid:durableId="161474397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E90"/>
    <w:rsid w:val="000F36E0"/>
    <w:rsid w:val="001F0819"/>
    <w:rsid w:val="00240F25"/>
    <w:rsid w:val="002D6F2D"/>
    <w:rsid w:val="004211A3"/>
    <w:rsid w:val="00493E95"/>
    <w:rsid w:val="005219BD"/>
    <w:rsid w:val="006C083C"/>
    <w:rsid w:val="00957F29"/>
    <w:rsid w:val="00995A95"/>
    <w:rsid w:val="009A0A44"/>
    <w:rsid w:val="00A95986"/>
    <w:rsid w:val="00AE43BB"/>
    <w:rsid w:val="00B44E1E"/>
    <w:rsid w:val="00BF007C"/>
    <w:rsid w:val="00C95E90"/>
    <w:rsid w:val="00CD4D63"/>
    <w:rsid w:val="00CE1807"/>
    <w:rsid w:val="00CF0853"/>
    <w:rsid w:val="00DA2CAB"/>
    <w:rsid w:val="00E40810"/>
    <w:rsid w:val="00F62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1FBFE"/>
  <w15:chartTrackingRefBased/>
  <w15:docId w15:val="{FA39A5B5-C9CD-4EB2-BBA0-16F6CDA30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E9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5E90"/>
    <w:pPr>
      <w:ind w:left="720"/>
      <w:contextualSpacing/>
    </w:pPr>
  </w:style>
  <w:style w:type="paragraph" w:styleId="Header">
    <w:name w:val="header"/>
    <w:basedOn w:val="Normal"/>
    <w:link w:val="HeaderChar"/>
    <w:uiPriority w:val="99"/>
    <w:unhideWhenUsed/>
    <w:rsid w:val="006C083C"/>
    <w:pPr>
      <w:tabs>
        <w:tab w:val="center" w:pos="4680"/>
        <w:tab w:val="right" w:pos="9360"/>
      </w:tabs>
    </w:pPr>
  </w:style>
  <w:style w:type="character" w:customStyle="1" w:styleId="HeaderChar">
    <w:name w:val="Header Char"/>
    <w:basedOn w:val="DefaultParagraphFont"/>
    <w:link w:val="Header"/>
    <w:uiPriority w:val="99"/>
    <w:rsid w:val="006C083C"/>
    <w:rPr>
      <w:rFonts w:ascii="Calibri" w:hAnsi="Calibri" w:cs="Calibri"/>
    </w:rPr>
  </w:style>
  <w:style w:type="paragraph" w:styleId="Footer">
    <w:name w:val="footer"/>
    <w:basedOn w:val="Normal"/>
    <w:link w:val="FooterChar"/>
    <w:uiPriority w:val="99"/>
    <w:unhideWhenUsed/>
    <w:rsid w:val="006C083C"/>
    <w:pPr>
      <w:tabs>
        <w:tab w:val="center" w:pos="4680"/>
        <w:tab w:val="right" w:pos="9360"/>
      </w:tabs>
    </w:pPr>
  </w:style>
  <w:style w:type="character" w:customStyle="1" w:styleId="FooterChar">
    <w:name w:val="Footer Char"/>
    <w:basedOn w:val="DefaultParagraphFont"/>
    <w:link w:val="Footer"/>
    <w:uiPriority w:val="99"/>
    <w:rsid w:val="006C083C"/>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55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87573-C312-48B1-9AE7-0D8C63AB5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2925</Words>
  <Characters>16676</Characters>
  <Application>Microsoft Office Word</Application>
  <DocSecurity>4</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19562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Tausend, Stephen (Cornyn)</dc:creator>
  <cp:keywords/>
  <dc:description/>
  <cp:lastModifiedBy>Neal Comstock</cp:lastModifiedBy>
  <cp:revision>2</cp:revision>
  <dcterms:created xsi:type="dcterms:W3CDTF">2022-06-21T23:49:00Z</dcterms:created>
  <dcterms:modified xsi:type="dcterms:W3CDTF">2022-06-21T23:49:00Z</dcterms:modified>
</cp:coreProperties>
</file>