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1D6A" w14:textId="7D6682C5" w:rsidR="00284B77" w:rsidRDefault="00284B77">
      <w:pPr>
        <w:rPr>
          <w:rFonts w:asciiTheme="majorHAnsi" w:hAnsiTheme="majorHAnsi" w:cstheme="majorHAnsi"/>
          <w:color w:val="000000"/>
          <w:sz w:val="24"/>
          <w:szCs w:val="24"/>
        </w:rPr>
      </w:pPr>
      <w:r w:rsidRPr="00FE309C">
        <w:rPr>
          <w:rFonts w:asciiTheme="majorHAnsi" w:hAnsiTheme="majorHAnsi" w:cstheme="majorHAnsi"/>
          <w:sz w:val="24"/>
          <w:szCs w:val="24"/>
        </w:rPr>
        <w:t xml:space="preserve">Subject - </w:t>
      </w:r>
      <w:r w:rsidRPr="00FE309C">
        <w:rPr>
          <w:rFonts w:asciiTheme="majorHAnsi" w:hAnsiTheme="majorHAnsi" w:cstheme="majorHAnsi"/>
          <w:color w:val="000000"/>
          <w:sz w:val="24"/>
          <w:szCs w:val="24"/>
        </w:rPr>
        <w:t>Center for Excellence for Integrated Health Solutions</w:t>
      </w:r>
      <w:r w:rsidRPr="00FE309C">
        <w:rPr>
          <w:rFonts w:asciiTheme="majorHAnsi" w:hAnsiTheme="majorHAnsi" w:cstheme="majorHAnsi"/>
          <w:color w:val="000000"/>
          <w:sz w:val="24"/>
          <w:szCs w:val="24"/>
        </w:rPr>
        <w:t xml:space="preserve"> - </w:t>
      </w:r>
      <w:r w:rsidRPr="00FE309C">
        <w:rPr>
          <w:rFonts w:asciiTheme="majorHAnsi" w:hAnsiTheme="majorHAnsi" w:cstheme="majorHAnsi"/>
          <w:color w:val="000000"/>
          <w:sz w:val="24"/>
          <w:szCs w:val="24"/>
        </w:rPr>
        <w:t>Bring Workforce Solutions to Scale</w:t>
      </w:r>
      <w:r w:rsidR="00DA1745" w:rsidRPr="00FE309C">
        <w:rPr>
          <w:rFonts w:asciiTheme="majorHAnsi" w:hAnsiTheme="majorHAnsi" w:cstheme="majorHAnsi"/>
          <w:color w:val="000000"/>
          <w:sz w:val="24"/>
          <w:szCs w:val="24"/>
        </w:rPr>
        <w:t xml:space="preserve"> – partnership/grant opportunity – April 2020</w:t>
      </w:r>
    </w:p>
    <w:p w14:paraId="60B3A970" w14:textId="677820DA" w:rsidR="001A19A4" w:rsidRDefault="001A19A4">
      <w:pPr>
        <w:rPr>
          <w:rFonts w:asciiTheme="majorHAnsi" w:hAnsiTheme="majorHAnsi" w:cstheme="majorHAnsi"/>
          <w:color w:val="000000"/>
          <w:sz w:val="24"/>
          <w:szCs w:val="24"/>
        </w:rPr>
      </w:pPr>
    </w:p>
    <w:p w14:paraId="06912C02" w14:textId="513CE078" w:rsidR="001A19A4" w:rsidRPr="00FE309C" w:rsidRDefault="001A19A4">
      <w:pPr>
        <w:rPr>
          <w:rFonts w:asciiTheme="majorHAnsi" w:hAnsiTheme="majorHAnsi" w:cstheme="majorHAnsi"/>
          <w:color w:val="000000"/>
          <w:sz w:val="24"/>
          <w:szCs w:val="24"/>
        </w:rPr>
      </w:pPr>
      <w:r>
        <w:rPr>
          <w:rFonts w:asciiTheme="majorHAnsi" w:hAnsiTheme="majorHAnsi" w:cstheme="majorHAnsi"/>
          <w:color w:val="000000"/>
          <w:sz w:val="24"/>
          <w:szCs w:val="24"/>
        </w:rPr>
        <w:t>April 7, 2020</w:t>
      </w:r>
    </w:p>
    <w:p w14:paraId="26F7186D" w14:textId="314524E3" w:rsidR="00DA1745" w:rsidRDefault="00DA1745">
      <w:r>
        <w:rPr>
          <w:rFonts w:ascii="Arial" w:hAnsi="Arial" w:cs="Arial"/>
          <w:noProof/>
          <w:sz w:val="2"/>
          <w:szCs w:val="2"/>
        </w:rPr>
        <w:drawing>
          <wp:anchor distT="0" distB="0" distL="114300" distR="114300" simplePos="0" relativeHeight="251658240" behindDoc="0" locked="0" layoutInCell="1" allowOverlap="1" wp14:anchorId="0BBB2F35" wp14:editId="5F7BEABF">
            <wp:simplePos x="0" y="0"/>
            <wp:positionH relativeFrom="column">
              <wp:posOffset>-45720</wp:posOffset>
            </wp:positionH>
            <wp:positionV relativeFrom="paragraph">
              <wp:posOffset>253365</wp:posOffset>
            </wp:positionV>
            <wp:extent cx="5943600" cy="1535430"/>
            <wp:effectExtent l="0" t="0" r="0"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35430"/>
                    </a:xfrm>
                    <a:prstGeom prst="rect">
                      <a:avLst/>
                    </a:prstGeom>
                    <a:noFill/>
                    <a:ln>
                      <a:noFill/>
                    </a:ln>
                  </pic:spPr>
                </pic:pic>
              </a:graphicData>
            </a:graphic>
          </wp:anchor>
        </w:drawing>
      </w:r>
    </w:p>
    <w:tbl>
      <w:tblPr>
        <w:tblW w:w="5000" w:type="pct"/>
        <w:jc w:val="center"/>
        <w:tblCellMar>
          <w:left w:w="0" w:type="dxa"/>
          <w:right w:w="0" w:type="dxa"/>
        </w:tblCellMar>
        <w:tblLook w:val="04A0" w:firstRow="1" w:lastRow="0" w:firstColumn="1" w:lastColumn="0" w:noHBand="0" w:noVBand="1"/>
      </w:tblPr>
      <w:tblGrid>
        <w:gridCol w:w="9360"/>
      </w:tblGrid>
      <w:tr w:rsidR="00284B77" w14:paraId="20E8274D" w14:textId="77777777" w:rsidTr="00284B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B77" w14:paraId="5780F662" w14:textId="77777777">
              <w:trPr>
                <w:trHeight w:val="300"/>
                <w:jc w:val="center"/>
              </w:trPr>
              <w:tc>
                <w:tcPr>
                  <w:tcW w:w="0" w:type="auto"/>
                  <w:vAlign w:val="center"/>
                  <w:hideMark/>
                </w:tcPr>
                <w:p w14:paraId="51196D3F" w14:textId="77777777" w:rsidR="00284B77" w:rsidRDefault="00284B77">
                  <w:pPr>
                    <w:spacing w:line="15" w:lineRule="atLeast"/>
                    <w:jc w:val="center"/>
                    <w:rPr>
                      <w:rFonts w:ascii="Arial" w:hAnsi="Arial" w:cs="Arial"/>
                      <w:sz w:val="2"/>
                      <w:szCs w:val="2"/>
                    </w:rPr>
                  </w:pPr>
                  <w:r>
                    <w:rPr>
                      <w:rFonts w:ascii="Arial" w:hAnsi="Arial" w:cs="Arial"/>
                      <w:sz w:val="2"/>
                      <w:szCs w:val="2"/>
                    </w:rPr>
                    <w:t xml:space="preserve">  </w:t>
                  </w:r>
                </w:p>
              </w:tc>
            </w:tr>
            <w:tr w:rsidR="00284B77" w14:paraId="22DF8A82" w14:textId="77777777">
              <w:trPr>
                <w:jc w:val="center"/>
              </w:trPr>
              <w:tc>
                <w:tcPr>
                  <w:tcW w:w="0" w:type="auto"/>
                  <w:vAlign w:val="center"/>
                  <w:hideMark/>
                </w:tcPr>
                <w:p w14:paraId="0978E80B" w14:textId="77777777" w:rsidR="00284B77" w:rsidRDefault="00284B77">
                  <w:pPr>
                    <w:pStyle w:val="NormalWeb"/>
                    <w:spacing w:line="300" w:lineRule="exact"/>
                    <w:rPr>
                      <w:color w:val="000000"/>
                      <w:sz w:val="21"/>
                      <w:szCs w:val="21"/>
                    </w:rPr>
                  </w:pPr>
                  <w:r>
                    <w:rPr>
                      <w:color w:val="000000"/>
                      <w:sz w:val="21"/>
                      <w:szCs w:val="21"/>
                    </w:rPr>
                    <w:t>Now more than ever, integrated whole-person care is critical to address the rising demand for mental health care, substance use treatment and general health care services. However, your organization is likely facing major challenges due to the COVID-19 pandemic, including problems with recruitment and retention, as well as staff burnout. For many, the shortage of workers has caused longer wait lists and has forced some organizations to reduce services at a critical time when demand is still on the rise.</w:t>
                  </w:r>
                </w:p>
                <w:p w14:paraId="7E6AAAAF" w14:textId="77777777" w:rsidR="00284B77" w:rsidRDefault="00284B77">
                  <w:pPr>
                    <w:pStyle w:val="NormalWeb"/>
                    <w:spacing w:line="300" w:lineRule="exact"/>
                    <w:rPr>
                      <w:color w:val="000000"/>
                      <w:sz w:val="21"/>
                      <w:szCs w:val="21"/>
                    </w:rPr>
                  </w:pPr>
                  <w:r>
                    <w:rPr>
                      <w:color w:val="000000"/>
                      <w:sz w:val="21"/>
                      <w:szCs w:val="21"/>
                    </w:rPr>
                    <w:t xml:space="preserve">Let’s work together to build workforce solutions that cross cultural, geographical and population specific barriers. </w:t>
                  </w:r>
                </w:p>
                <w:p w14:paraId="5D2300B8" w14:textId="77777777" w:rsidR="00284B77" w:rsidRDefault="00284B77">
                  <w:pPr>
                    <w:pStyle w:val="NormalWeb"/>
                    <w:spacing w:line="300" w:lineRule="exact"/>
                    <w:rPr>
                      <w:color w:val="000000"/>
                      <w:sz w:val="21"/>
                      <w:szCs w:val="21"/>
                    </w:rPr>
                  </w:pPr>
                  <w:r>
                    <w:rPr>
                      <w:color w:val="000000"/>
                      <w:sz w:val="21"/>
                      <w:szCs w:val="21"/>
                    </w:rPr>
                    <w:t>We are excited to extend the opportunity to 30 integrated care organizations to partner with the Center for Excellence for Integrated Health Solutions (</w:t>
                  </w:r>
                  <w:proofErr w:type="spellStart"/>
                  <w:r>
                    <w:rPr>
                      <w:color w:val="000000"/>
                      <w:sz w:val="21"/>
                      <w:szCs w:val="21"/>
                    </w:rPr>
                    <w:t>CoE</w:t>
                  </w:r>
                  <w:proofErr w:type="spellEnd"/>
                  <w:r>
                    <w:rPr>
                      <w:color w:val="000000"/>
                      <w:sz w:val="21"/>
                      <w:szCs w:val="21"/>
                    </w:rPr>
                    <w:t xml:space="preserve">-IHS) in a groundbreaking new Learning Collaborative, </w:t>
                  </w:r>
                  <w:hyperlink r:id="rId7" w:history="1">
                    <w:r>
                      <w:rPr>
                        <w:rStyle w:val="Hyperlink"/>
                        <w:rFonts w:ascii="Arial" w:hAnsi="Arial" w:cs="Arial"/>
                        <w:i/>
                        <w:iCs/>
                        <w:sz w:val="21"/>
                        <w:szCs w:val="21"/>
                      </w:rPr>
                      <w:t>Workforce Innovations in Integrated Care Collaborative</w:t>
                    </w:r>
                  </w:hyperlink>
                  <w:r>
                    <w:rPr>
                      <w:color w:val="000000"/>
                      <w:sz w:val="21"/>
                      <w:szCs w:val="21"/>
                    </w:rPr>
                    <w:t xml:space="preserve">. </w:t>
                  </w:r>
                  <w:r>
                    <w:rPr>
                      <w:rStyle w:val="Strong"/>
                      <w:rFonts w:ascii="Arial" w:hAnsi="Arial" w:cs="Arial"/>
                      <w:color w:val="000000"/>
                      <w:sz w:val="21"/>
                      <w:szCs w:val="21"/>
                    </w:rPr>
                    <w:t xml:space="preserve">Participating organizations will partner with the </w:t>
                  </w:r>
                  <w:proofErr w:type="spellStart"/>
                  <w:r>
                    <w:rPr>
                      <w:rStyle w:val="Strong"/>
                      <w:rFonts w:ascii="Arial" w:hAnsi="Arial" w:cs="Arial"/>
                      <w:color w:val="000000"/>
                      <w:sz w:val="21"/>
                      <w:szCs w:val="21"/>
                    </w:rPr>
                    <w:t>CoE</w:t>
                  </w:r>
                  <w:proofErr w:type="spellEnd"/>
                  <w:r>
                    <w:rPr>
                      <w:rStyle w:val="Strong"/>
                      <w:rFonts w:ascii="Arial" w:hAnsi="Arial" w:cs="Arial"/>
                      <w:color w:val="000000"/>
                      <w:sz w:val="21"/>
                      <w:szCs w:val="21"/>
                    </w:rPr>
                    <w:t>-IHS to receive $25,000 and ongoing support to develop and implement innovative solutions to address integrated care workforce challenges</w:t>
                  </w:r>
                  <w:r>
                    <w:rPr>
                      <w:color w:val="000000"/>
                      <w:sz w:val="21"/>
                      <w:szCs w:val="21"/>
                    </w:rPr>
                    <w:t>. This learning opportunity will launch in late May and conclude with a virtual session in July.</w:t>
                  </w:r>
                </w:p>
              </w:tc>
            </w:tr>
            <w:tr w:rsidR="00284B77" w14:paraId="1D87B5C3" w14:textId="77777777">
              <w:trPr>
                <w:trHeight w:val="300"/>
                <w:jc w:val="center"/>
              </w:trPr>
              <w:tc>
                <w:tcPr>
                  <w:tcW w:w="0" w:type="auto"/>
                  <w:vAlign w:val="center"/>
                  <w:hideMark/>
                </w:tcPr>
                <w:p w14:paraId="74D153C5" w14:textId="77777777" w:rsidR="00284B77" w:rsidRDefault="00284B77">
                  <w:pPr>
                    <w:spacing w:line="15" w:lineRule="atLeast"/>
                    <w:jc w:val="center"/>
                    <w:rPr>
                      <w:rFonts w:ascii="Arial" w:hAnsi="Arial" w:cs="Arial"/>
                      <w:sz w:val="2"/>
                      <w:szCs w:val="2"/>
                    </w:rPr>
                  </w:pPr>
                  <w:r>
                    <w:rPr>
                      <w:rFonts w:ascii="Arial" w:hAnsi="Arial" w:cs="Arial"/>
                      <w:sz w:val="2"/>
                      <w:szCs w:val="2"/>
                    </w:rPr>
                    <w:t xml:space="preserve">  </w:t>
                  </w:r>
                </w:p>
              </w:tc>
            </w:tr>
          </w:tbl>
          <w:p w14:paraId="7A54C3CA" w14:textId="77777777" w:rsidR="00284B77" w:rsidRDefault="00284B77">
            <w:pPr>
              <w:jc w:val="center"/>
              <w:rPr>
                <w:rFonts w:ascii="Times New Roman" w:eastAsia="Times New Roman" w:hAnsi="Times New Roman" w:cs="Times New Roman"/>
                <w:sz w:val="20"/>
                <w:szCs w:val="20"/>
              </w:rPr>
            </w:pPr>
          </w:p>
        </w:tc>
      </w:tr>
    </w:tbl>
    <w:p w14:paraId="053885D3" w14:textId="77777777" w:rsidR="00284B77" w:rsidRDefault="00284B77" w:rsidP="00284B77">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360"/>
      </w:tblGrid>
      <w:tr w:rsidR="00DA1745" w:rsidRPr="00DA1745" w14:paraId="4BD39569" w14:textId="77777777" w:rsidTr="00284B77">
        <w:trPr>
          <w:jc w:val="center"/>
        </w:trPr>
        <w:tc>
          <w:tcPr>
            <w:tcW w:w="0" w:type="auto"/>
            <w:shd w:val="clear" w:color="auto" w:fill="FFFFFF"/>
            <w:vAlign w:val="center"/>
            <w:hideMark/>
          </w:tcPr>
          <w:tbl>
            <w:tblPr>
              <w:tblW w:w="1800" w:type="dxa"/>
              <w:jc w:val="center"/>
              <w:tblCellMar>
                <w:left w:w="0" w:type="dxa"/>
                <w:right w:w="0" w:type="dxa"/>
              </w:tblCellMar>
              <w:tblLook w:val="04A0" w:firstRow="1" w:lastRow="0" w:firstColumn="1" w:lastColumn="0" w:noHBand="0" w:noVBand="1"/>
            </w:tblPr>
            <w:tblGrid>
              <w:gridCol w:w="2720"/>
            </w:tblGrid>
            <w:tr w:rsidR="00DA1745" w:rsidRPr="00DA1745" w14:paraId="1CDA9B4F" w14:textId="77777777">
              <w:trPr>
                <w:trHeight w:val="300"/>
                <w:jc w:val="center"/>
              </w:trPr>
              <w:tc>
                <w:tcPr>
                  <w:tcW w:w="0" w:type="auto"/>
                  <w:vAlign w:val="center"/>
                  <w:hideMark/>
                </w:tcPr>
                <w:p w14:paraId="6472A2C0" w14:textId="77777777" w:rsidR="00284B77" w:rsidRPr="00DA1745" w:rsidRDefault="00284B77">
                  <w:pPr>
                    <w:spacing w:line="15" w:lineRule="atLeast"/>
                    <w:jc w:val="center"/>
                    <w:rPr>
                      <w:rFonts w:ascii="Arial" w:hAnsi="Arial" w:cs="Arial"/>
                      <w:b/>
                      <w:bCs/>
                      <w:color w:val="3333FF"/>
                      <w:sz w:val="2"/>
                      <w:szCs w:val="2"/>
                    </w:rPr>
                  </w:pPr>
                  <w:r w:rsidRPr="00DA1745">
                    <w:rPr>
                      <w:rFonts w:ascii="Arial" w:hAnsi="Arial" w:cs="Arial"/>
                      <w:b/>
                      <w:bCs/>
                      <w:color w:val="3333FF"/>
                      <w:sz w:val="2"/>
                      <w:szCs w:val="2"/>
                    </w:rPr>
                    <w:t xml:space="preserve">  </w:t>
                  </w:r>
                </w:p>
              </w:tc>
            </w:tr>
            <w:tr w:rsidR="00DA1745" w:rsidRPr="00DA1745" w14:paraId="62B7E805" w14:textId="77777777">
              <w:trPr>
                <w:jc w:val="center"/>
              </w:trPr>
              <w:tc>
                <w:tcPr>
                  <w:tcW w:w="0" w:type="auto"/>
                  <w:hideMark/>
                </w:tcPr>
                <w:tbl>
                  <w:tblPr>
                    <w:tblW w:w="2700" w:type="dxa"/>
                    <w:jc w:val="center"/>
                    <w:tblCellSpacing w:w="0" w:type="dxa"/>
                    <w:tblCellMar>
                      <w:left w:w="0" w:type="dxa"/>
                      <w:right w:w="0" w:type="dxa"/>
                    </w:tblCellMar>
                    <w:tblLook w:val="04A0" w:firstRow="1" w:lastRow="0" w:firstColumn="1" w:lastColumn="0" w:noHBand="0" w:noVBand="1"/>
                  </w:tblPr>
                  <w:tblGrid>
                    <w:gridCol w:w="2700"/>
                  </w:tblGrid>
                  <w:tr w:rsidR="00DA1745" w:rsidRPr="00DA1745" w14:paraId="4B91A23B" w14:textId="77777777">
                    <w:trPr>
                      <w:tblCellSpacing w:w="0" w:type="dxa"/>
                      <w:jc w:val="center"/>
                    </w:trPr>
                    <w:tc>
                      <w:tcPr>
                        <w:tcW w:w="0" w:type="auto"/>
                        <w:tcBorders>
                          <w:top w:val="single" w:sz="8" w:space="0" w:color="EA5E29"/>
                          <w:left w:val="single" w:sz="8" w:space="0" w:color="EA5E29"/>
                          <w:bottom w:val="single" w:sz="8" w:space="0" w:color="EA5E29"/>
                          <w:right w:val="single" w:sz="8" w:space="0" w:color="EA5E29"/>
                        </w:tcBorders>
                        <w:shd w:val="clear" w:color="auto" w:fill="EA5E29"/>
                        <w:tcMar>
                          <w:top w:w="135" w:type="dxa"/>
                          <w:left w:w="600" w:type="dxa"/>
                          <w:bottom w:w="120" w:type="dxa"/>
                          <w:right w:w="600" w:type="dxa"/>
                        </w:tcMar>
                        <w:vAlign w:val="center"/>
                        <w:hideMark/>
                      </w:tcPr>
                      <w:p w14:paraId="0984ED56" w14:textId="77777777" w:rsidR="00284B77" w:rsidRPr="00DA1745" w:rsidRDefault="00284B77">
                        <w:pPr>
                          <w:spacing w:line="330" w:lineRule="exact"/>
                          <w:jc w:val="center"/>
                          <w:rPr>
                            <w:rFonts w:ascii="Arial" w:hAnsi="Arial" w:cs="Arial"/>
                            <w:b/>
                            <w:bCs/>
                            <w:color w:val="3333FF"/>
                            <w:sz w:val="24"/>
                            <w:szCs w:val="24"/>
                          </w:rPr>
                        </w:pPr>
                        <w:hyperlink r:id="rId8" w:history="1">
                          <w:r w:rsidRPr="00DA1745">
                            <w:rPr>
                              <w:rStyle w:val="Hyperlink"/>
                              <w:rFonts w:ascii="Arial" w:hAnsi="Arial" w:cs="Arial"/>
                              <w:b/>
                              <w:bCs/>
                              <w:color w:val="3333FF"/>
                              <w:sz w:val="24"/>
                              <w:szCs w:val="24"/>
                              <w:u w:val="none"/>
                            </w:rPr>
                            <w:t xml:space="preserve">Apply Today </w:t>
                          </w:r>
                        </w:hyperlink>
                      </w:p>
                    </w:tc>
                  </w:tr>
                </w:tbl>
                <w:p w14:paraId="2D098ECC" w14:textId="77777777" w:rsidR="00284B77" w:rsidRPr="00DA1745" w:rsidRDefault="00284B77">
                  <w:pPr>
                    <w:jc w:val="center"/>
                    <w:rPr>
                      <w:rFonts w:ascii="Times New Roman" w:eastAsia="Times New Roman" w:hAnsi="Times New Roman" w:cs="Times New Roman"/>
                      <w:b/>
                      <w:bCs/>
                      <w:color w:val="3333FF"/>
                      <w:sz w:val="20"/>
                      <w:szCs w:val="20"/>
                    </w:rPr>
                  </w:pPr>
                </w:p>
              </w:tc>
            </w:tr>
            <w:tr w:rsidR="00DA1745" w:rsidRPr="00DA1745" w14:paraId="59E05D7F" w14:textId="77777777">
              <w:trPr>
                <w:trHeight w:val="300"/>
                <w:jc w:val="center"/>
              </w:trPr>
              <w:tc>
                <w:tcPr>
                  <w:tcW w:w="0" w:type="auto"/>
                  <w:vAlign w:val="center"/>
                  <w:hideMark/>
                </w:tcPr>
                <w:p w14:paraId="444D05B2" w14:textId="77777777" w:rsidR="00284B77" w:rsidRPr="00DA1745" w:rsidRDefault="00284B77">
                  <w:pPr>
                    <w:spacing w:line="15" w:lineRule="atLeast"/>
                    <w:jc w:val="center"/>
                    <w:rPr>
                      <w:rFonts w:ascii="Arial" w:hAnsi="Arial" w:cs="Arial"/>
                      <w:b/>
                      <w:bCs/>
                      <w:color w:val="3333FF"/>
                      <w:sz w:val="2"/>
                      <w:szCs w:val="2"/>
                    </w:rPr>
                  </w:pPr>
                  <w:r w:rsidRPr="00DA1745">
                    <w:rPr>
                      <w:rFonts w:ascii="Arial" w:hAnsi="Arial" w:cs="Arial"/>
                      <w:b/>
                      <w:bCs/>
                      <w:color w:val="3333FF"/>
                      <w:sz w:val="2"/>
                      <w:szCs w:val="2"/>
                    </w:rPr>
                    <w:t xml:space="preserve">  </w:t>
                  </w:r>
                </w:p>
              </w:tc>
            </w:tr>
          </w:tbl>
          <w:p w14:paraId="0F6FB731" w14:textId="77777777" w:rsidR="00284B77" w:rsidRPr="00DA1745" w:rsidRDefault="00284B77">
            <w:pPr>
              <w:jc w:val="center"/>
              <w:rPr>
                <w:rFonts w:ascii="Times New Roman" w:eastAsia="Times New Roman" w:hAnsi="Times New Roman" w:cs="Times New Roman"/>
                <w:b/>
                <w:bCs/>
                <w:color w:val="3333FF"/>
                <w:sz w:val="20"/>
                <w:szCs w:val="20"/>
              </w:rPr>
            </w:pPr>
          </w:p>
        </w:tc>
      </w:tr>
    </w:tbl>
    <w:p w14:paraId="0F17C958" w14:textId="77777777" w:rsidR="00284B77" w:rsidRDefault="00284B77" w:rsidP="00284B77">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360"/>
      </w:tblGrid>
      <w:tr w:rsidR="00284B77" w14:paraId="2886FE33" w14:textId="77777777" w:rsidTr="00284B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B77" w14:paraId="2CF29BF2" w14:textId="77777777">
              <w:trPr>
                <w:trHeight w:val="300"/>
                <w:jc w:val="center"/>
              </w:trPr>
              <w:tc>
                <w:tcPr>
                  <w:tcW w:w="0" w:type="auto"/>
                  <w:vAlign w:val="center"/>
                  <w:hideMark/>
                </w:tcPr>
                <w:p w14:paraId="1E93F389" w14:textId="77777777" w:rsidR="00284B77" w:rsidRDefault="00284B77">
                  <w:pPr>
                    <w:spacing w:line="15" w:lineRule="atLeast"/>
                    <w:jc w:val="center"/>
                    <w:rPr>
                      <w:rFonts w:ascii="Arial" w:hAnsi="Arial" w:cs="Arial"/>
                      <w:sz w:val="2"/>
                      <w:szCs w:val="2"/>
                    </w:rPr>
                  </w:pPr>
                  <w:r>
                    <w:rPr>
                      <w:rFonts w:ascii="Arial" w:hAnsi="Arial" w:cs="Arial"/>
                      <w:sz w:val="2"/>
                      <w:szCs w:val="2"/>
                    </w:rPr>
                    <w:t xml:space="preserve">  </w:t>
                  </w:r>
                </w:p>
              </w:tc>
            </w:tr>
            <w:tr w:rsidR="00284B77" w14:paraId="65D77461" w14:textId="77777777">
              <w:trPr>
                <w:jc w:val="center"/>
              </w:trPr>
              <w:tc>
                <w:tcPr>
                  <w:tcW w:w="0" w:type="auto"/>
                  <w:vAlign w:val="center"/>
                  <w:hideMark/>
                </w:tcPr>
                <w:p w14:paraId="72557032" w14:textId="77777777" w:rsidR="00284B77" w:rsidRDefault="00284B77">
                  <w:pPr>
                    <w:pStyle w:val="NormalWeb"/>
                    <w:spacing w:line="300" w:lineRule="exact"/>
                    <w:jc w:val="center"/>
                    <w:rPr>
                      <w:color w:val="000000"/>
                      <w:sz w:val="21"/>
                      <w:szCs w:val="21"/>
                    </w:rPr>
                  </w:pPr>
                  <w:r>
                    <w:rPr>
                      <w:rStyle w:val="Strong"/>
                      <w:rFonts w:ascii="Arial" w:hAnsi="Arial" w:cs="Arial"/>
                      <w:color w:val="000000"/>
                      <w:sz w:val="21"/>
                      <w:szCs w:val="21"/>
                    </w:rPr>
                    <w:t xml:space="preserve">Applications are due by 11:59 p.m. ET on Friday, April 15. Hurry to get your applications in! They will be reviewed on a first-come, first-served basis. </w:t>
                  </w:r>
                </w:p>
                <w:p w14:paraId="52BE33D6" w14:textId="77777777" w:rsidR="00284B77" w:rsidRDefault="00284B77">
                  <w:pPr>
                    <w:pStyle w:val="NormalWeb"/>
                    <w:spacing w:line="300" w:lineRule="exact"/>
                    <w:rPr>
                      <w:color w:val="000000"/>
                      <w:sz w:val="21"/>
                      <w:szCs w:val="21"/>
                    </w:rPr>
                  </w:pPr>
                  <w:r>
                    <w:rPr>
                      <w:rStyle w:val="Strong"/>
                      <w:rFonts w:ascii="Arial" w:hAnsi="Arial" w:cs="Arial"/>
                      <w:color w:val="000000"/>
                      <w:sz w:val="21"/>
                      <w:szCs w:val="21"/>
                    </w:rPr>
                    <w:t>Have questions or want to learn more?</w:t>
                  </w:r>
                  <w:r>
                    <w:rPr>
                      <w:color w:val="000000"/>
                      <w:sz w:val="21"/>
                      <w:szCs w:val="21"/>
                    </w:rPr>
                    <w:t xml:space="preserve"> Join us for an office hour session with integrated care experts on Thursday, April 7, 2-3 p.m. ET to have your questions answered. You can also learn more about this opportunity in our </w:t>
                  </w:r>
                  <w:hyperlink r:id="rId9" w:history="1">
                    <w:r>
                      <w:rPr>
                        <w:rStyle w:val="Hyperlink"/>
                        <w:sz w:val="21"/>
                        <w:szCs w:val="21"/>
                      </w:rPr>
                      <w:t>Frequently Asked Questions (FAQ) document</w:t>
                    </w:r>
                  </w:hyperlink>
                  <w:r>
                    <w:rPr>
                      <w:color w:val="000000"/>
                      <w:sz w:val="21"/>
                      <w:szCs w:val="21"/>
                    </w:rPr>
                    <w:t>.</w:t>
                  </w:r>
                </w:p>
              </w:tc>
            </w:tr>
            <w:tr w:rsidR="00284B77" w14:paraId="185A723E" w14:textId="77777777">
              <w:trPr>
                <w:trHeight w:val="300"/>
                <w:jc w:val="center"/>
              </w:trPr>
              <w:tc>
                <w:tcPr>
                  <w:tcW w:w="0" w:type="auto"/>
                  <w:vAlign w:val="center"/>
                  <w:hideMark/>
                </w:tcPr>
                <w:p w14:paraId="15988CB3" w14:textId="77777777" w:rsidR="00284B77" w:rsidRDefault="00284B77">
                  <w:pPr>
                    <w:spacing w:line="15" w:lineRule="atLeast"/>
                    <w:jc w:val="center"/>
                    <w:rPr>
                      <w:rFonts w:ascii="Arial" w:hAnsi="Arial" w:cs="Arial"/>
                      <w:sz w:val="2"/>
                      <w:szCs w:val="2"/>
                    </w:rPr>
                  </w:pPr>
                  <w:r>
                    <w:rPr>
                      <w:rFonts w:ascii="Arial" w:hAnsi="Arial" w:cs="Arial"/>
                      <w:sz w:val="2"/>
                      <w:szCs w:val="2"/>
                    </w:rPr>
                    <w:lastRenderedPageBreak/>
                    <w:t xml:space="preserve">  </w:t>
                  </w:r>
                </w:p>
              </w:tc>
            </w:tr>
          </w:tbl>
          <w:p w14:paraId="60DD6560" w14:textId="77777777" w:rsidR="00284B77" w:rsidRDefault="00284B77">
            <w:pPr>
              <w:jc w:val="center"/>
              <w:rPr>
                <w:rFonts w:ascii="Times New Roman" w:eastAsia="Times New Roman" w:hAnsi="Times New Roman" w:cs="Times New Roman"/>
                <w:sz w:val="20"/>
                <w:szCs w:val="20"/>
              </w:rPr>
            </w:pPr>
          </w:p>
        </w:tc>
      </w:tr>
    </w:tbl>
    <w:p w14:paraId="5DD2BAB3" w14:textId="77777777" w:rsidR="00284B77" w:rsidRDefault="00284B77" w:rsidP="00284B77">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360"/>
      </w:tblGrid>
      <w:tr w:rsidR="00284B77" w14:paraId="707E254D" w14:textId="77777777" w:rsidTr="00284B77">
        <w:trPr>
          <w:jc w:val="center"/>
        </w:trPr>
        <w:tc>
          <w:tcPr>
            <w:tcW w:w="0" w:type="auto"/>
            <w:shd w:val="clear" w:color="auto" w:fill="FFFFFF"/>
            <w:vAlign w:val="center"/>
            <w:hideMark/>
          </w:tcPr>
          <w:tbl>
            <w:tblPr>
              <w:tblW w:w="1800" w:type="dxa"/>
              <w:jc w:val="center"/>
              <w:tblCellMar>
                <w:left w:w="0" w:type="dxa"/>
                <w:right w:w="0" w:type="dxa"/>
              </w:tblCellMar>
              <w:tblLook w:val="04A0" w:firstRow="1" w:lastRow="0" w:firstColumn="1" w:lastColumn="0" w:noHBand="0" w:noVBand="1"/>
            </w:tblPr>
            <w:tblGrid>
              <w:gridCol w:w="4220"/>
            </w:tblGrid>
            <w:tr w:rsidR="00284B77" w14:paraId="61F0C4C8" w14:textId="77777777">
              <w:trPr>
                <w:trHeight w:val="300"/>
                <w:jc w:val="center"/>
              </w:trPr>
              <w:tc>
                <w:tcPr>
                  <w:tcW w:w="0" w:type="auto"/>
                  <w:vAlign w:val="center"/>
                  <w:hideMark/>
                </w:tcPr>
                <w:p w14:paraId="78514C80" w14:textId="77777777" w:rsidR="00284B77" w:rsidRPr="00FE309C" w:rsidRDefault="00284B77">
                  <w:pPr>
                    <w:spacing w:line="15" w:lineRule="atLeast"/>
                    <w:jc w:val="center"/>
                    <w:rPr>
                      <w:rFonts w:ascii="Arial" w:hAnsi="Arial" w:cs="Arial"/>
                      <w:b/>
                      <w:bCs/>
                      <w:color w:val="3333FF"/>
                      <w:sz w:val="2"/>
                      <w:szCs w:val="2"/>
                    </w:rPr>
                  </w:pPr>
                  <w:r w:rsidRPr="00FE309C">
                    <w:rPr>
                      <w:rFonts w:ascii="Arial" w:hAnsi="Arial" w:cs="Arial"/>
                      <w:b/>
                      <w:bCs/>
                      <w:color w:val="3333FF"/>
                      <w:sz w:val="2"/>
                      <w:szCs w:val="2"/>
                    </w:rPr>
                    <w:t xml:space="preserve">  </w:t>
                  </w:r>
                </w:p>
              </w:tc>
            </w:tr>
            <w:tr w:rsidR="00284B77" w14:paraId="7C5B813D" w14:textId="77777777">
              <w:trPr>
                <w:jc w:val="center"/>
              </w:trPr>
              <w:tc>
                <w:tcPr>
                  <w:tcW w:w="0" w:type="auto"/>
                  <w:hideMark/>
                </w:tcPr>
                <w:tbl>
                  <w:tblPr>
                    <w:tblW w:w="4200" w:type="dxa"/>
                    <w:jc w:val="center"/>
                    <w:tblCellSpacing w:w="0" w:type="dxa"/>
                    <w:tblCellMar>
                      <w:left w:w="0" w:type="dxa"/>
                      <w:right w:w="0" w:type="dxa"/>
                    </w:tblCellMar>
                    <w:tblLook w:val="04A0" w:firstRow="1" w:lastRow="0" w:firstColumn="1" w:lastColumn="0" w:noHBand="0" w:noVBand="1"/>
                  </w:tblPr>
                  <w:tblGrid>
                    <w:gridCol w:w="4200"/>
                  </w:tblGrid>
                  <w:tr w:rsidR="00FE309C" w:rsidRPr="00FE309C" w14:paraId="3A1BEAD7" w14:textId="77777777">
                    <w:trPr>
                      <w:tblCellSpacing w:w="0" w:type="dxa"/>
                      <w:jc w:val="center"/>
                    </w:trPr>
                    <w:tc>
                      <w:tcPr>
                        <w:tcW w:w="0" w:type="auto"/>
                        <w:tcBorders>
                          <w:top w:val="single" w:sz="8" w:space="0" w:color="EA5E29"/>
                          <w:left w:val="single" w:sz="8" w:space="0" w:color="EA5E29"/>
                          <w:bottom w:val="single" w:sz="8" w:space="0" w:color="EA5E29"/>
                          <w:right w:val="single" w:sz="8" w:space="0" w:color="EA5E29"/>
                        </w:tcBorders>
                        <w:shd w:val="clear" w:color="auto" w:fill="EA5E29"/>
                        <w:tcMar>
                          <w:top w:w="135" w:type="dxa"/>
                          <w:left w:w="600" w:type="dxa"/>
                          <w:bottom w:w="120" w:type="dxa"/>
                          <w:right w:w="600" w:type="dxa"/>
                        </w:tcMar>
                        <w:vAlign w:val="center"/>
                        <w:hideMark/>
                      </w:tcPr>
                      <w:p w14:paraId="6CBA1747" w14:textId="77777777" w:rsidR="00284B77" w:rsidRPr="00FE309C" w:rsidRDefault="00284B77">
                        <w:pPr>
                          <w:spacing w:line="330" w:lineRule="exact"/>
                          <w:jc w:val="center"/>
                          <w:rPr>
                            <w:rFonts w:ascii="Arial" w:hAnsi="Arial" w:cs="Arial"/>
                            <w:b/>
                            <w:bCs/>
                            <w:color w:val="3333FF"/>
                            <w:sz w:val="24"/>
                            <w:szCs w:val="24"/>
                          </w:rPr>
                        </w:pPr>
                        <w:hyperlink r:id="rId10" w:history="1">
                          <w:r w:rsidRPr="00FE309C">
                            <w:rPr>
                              <w:rStyle w:val="Hyperlink"/>
                              <w:rFonts w:ascii="Arial" w:hAnsi="Arial" w:cs="Arial"/>
                              <w:b/>
                              <w:bCs/>
                              <w:color w:val="3333FF"/>
                              <w:sz w:val="24"/>
                              <w:szCs w:val="24"/>
                              <w:u w:val="none"/>
                            </w:rPr>
                            <w:t xml:space="preserve">Register for the Office Hour </w:t>
                          </w:r>
                        </w:hyperlink>
                      </w:p>
                    </w:tc>
                  </w:tr>
                </w:tbl>
                <w:p w14:paraId="5C0D113F" w14:textId="77777777" w:rsidR="00284B77" w:rsidRPr="00FE309C" w:rsidRDefault="00284B77">
                  <w:pPr>
                    <w:jc w:val="center"/>
                    <w:rPr>
                      <w:rFonts w:ascii="Times New Roman" w:eastAsia="Times New Roman" w:hAnsi="Times New Roman" w:cs="Times New Roman"/>
                      <w:b/>
                      <w:bCs/>
                      <w:color w:val="3333FF"/>
                      <w:sz w:val="20"/>
                      <w:szCs w:val="20"/>
                    </w:rPr>
                  </w:pPr>
                </w:p>
              </w:tc>
            </w:tr>
            <w:tr w:rsidR="00284B77" w14:paraId="2BBE681B" w14:textId="77777777">
              <w:trPr>
                <w:trHeight w:val="300"/>
                <w:jc w:val="center"/>
              </w:trPr>
              <w:tc>
                <w:tcPr>
                  <w:tcW w:w="0" w:type="auto"/>
                  <w:vAlign w:val="center"/>
                  <w:hideMark/>
                </w:tcPr>
                <w:p w14:paraId="5D79FBD1" w14:textId="77777777" w:rsidR="00284B77" w:rsidRPr="00FE309C" w:rsidRDefault="00284B77">
                  <w:pPr>
                    <w:spacing w:line="15" w:lineRule="atLeast"/>
                    <w:jc w:val="center"/>
                    <w:rPr>
                      <w:rFonts w:ascii="Arial" w:hAnsi="Arial" w:cs="Arial"/>
                      <w:b/>
                      <w:bCs/>
                      <w:color w:val="3333FF"/>
                      <w:sz w:val="2"/>
                      <w:szCs w:val="2"/>
                    </w:rPr>
                  </w:pPr>
                  <w:r w:rsidRPr="00FE309C">
                    <w:rPr>
                      <w:rFonts w:ascii="Arial" w:hAnsi="Arial" w:cs="Arial"/>
                      <w:b/>
                      <w:bCs/>
                      <w:color w:val="3333FF"/>
                      <w:sz w:val="2"/>
                      <w:szCs w:val="2"/>
                    </w:rPr>
                    <w:t xml:space="preserve">  </w:t>
                  </w:r>
                </w:p>
              </w:tc>
            </w:tr>
          </w:tbl>
          <w:p w14:paraId="42AC8BDB" w14:textId="77777777" w:rsidR="00284B77" w:rsidRDefault="00284B77">
            <w:pPr>
              <w:jc w:val="center"/>
              <w:rPr>
                <w:rFonts w:ascii="Times New Roman" w:eastAsia="Times New Roman" w:hAnsi="Times New Roman" w:cs="Times New Roman"/>
                <w:sz w:val="20"/>
                <w:szCs w:val="20"/>
              </w:rPr>
            </w:pPr>
          </w:p>
        </w:tc>
      </w:tr>
    </w:tbl>
    <w:p w14:paraId="3269E586" w14:textId="77777777" w:rsidR="00284B77" w:rsidRDefault="00284B77" w:rsidP="00284B77">
      <w:pP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360"/>
      </w:tblGrid>
      <w:tr w:rsidR="00284B77" w14:paraId="68ADEAC1" w14:textId="77777777" w:rsidTr="00284B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84B77" w14:paraId="7396318B" w14:textId="77777777">
              <w:trPr>
                <w:trHeight w:val="300"/>
                <w:jc w:val="center"/>
              </w:trPr>
              <w:tc>
                <w:tcPr>
                  <w:tcW w:w="0" w:type="auto"/>
                  <w:vAlign w:val="center"/>
                  <w:hideMark/>
                </w:tcPr>
                <w:p w14:paraId="2397048C" w14:textId="77777777" w:rsidR="00284B77" w:rsidRDefault="00284B77">
                  <w:pPr>
                    <w:spacing w:line="15" w:lineRule="atLeast"/>
                    <w:jc w:val="center"/>
                    <w:rPr>
                      <w:rFonts w:ascii="Arial" w:hAnsi="Arial" w:cs="Arial"/>
                      <w:sz w:val="2"/>
                      <w:szCs w:val="2"/>
                    </w:rPr>
                  </w:pPr>
                  <w:r>
                    <w:rPr>
                      <w:rFonts w:ascii="Arial" w:hAnsi="Arial" w:cs="Arial"/>
                      <w:sz w:val="2"/>
                      <w:szCs w:val="2"/>
                    </w:rPr>
                    <w:t xml:space="preserve">  </w:t>
                  </w:r>
                </w:p>
              </w:tc>
            </w:tr>
            <w:tr w:rsidR="00284B77" w14:paraId="55579050" w14:textId="77777777">
              <w:trPr>
                <w:jc w:val="center"/>
              </w:trPr>
              <w:tc>
                <w:tcPr>
                  <w:tcW w:w="0" w:type="auto"/>
                  <w:vAlign w:val="center"/>
                  <w:hideMark/>
                </w:tcPr>
                <w:p w14:paraId="63F794A9" w14:textId="77777777" w:rsidR="00284B77" w:rsidRDefault="00284B77">
                  <w:pPr>
                    <w:pStyle w:val="NormalWeb"/>
                    <w:spacing w:line="300" w:lineRule="exact"/>
                    <w:rPr>
                      <w:color w:val="000000"/>
                      <w:sz w:val="21"/>
                      <w:szCs w:val="21"/>
                    </w:rPr>
                  </w:pPr>
                  <w:r>
                    <w:rPr>
                      <w:rStyle w:val="Emphasis"/>
                      <w:rFonts w:ascii="Arial" w:hAnsi="Arial" w:cs="Arial"/>
                      <w:color w:val="000000"/>
                      <w:sz w:val="21"/>
                      <w:szCs w:val="21"/>
                    </w:rPr>
                    <w:t xml:space="preserve">This Learning Collaborative is supported by the </w:t>
                  </w:r>
                  <w:hyperlink r:id="rId11" w:history="1">
                    <w:r>
                      <w:rPr>
                        <w:rStyle w:val="Hyperlink"/>
                        <w:rFonts w:ascii="Arial" w:hAnsi="Arial" w:cs="Arial"/>
                        <w:i/>
                        <w:iCs/>
                        <w:sz w:val="21"/>
                        <w:szCs w:val="21"/>
                      </w:rPr>
                      <w:t>Center of Excellence for Integrated Health Solutions</w:t>
                    </w:r>
                  </w:hyperlink>
                  <w:r>
                    <w:rPr>
                      <w:rStyle w:val="Emphasis"/>
                      <w:rFonts w:ascii="Arial" w:hAnsi="Arial" w:cs="Arial"/>
                      <w:color w:val="000000"/>
                      <w:sz w:val="21"/>
                      <w:szCs w:val="21"/>
                    </w:rPr>
                    <w:t xml:space="preserve"> </w:t>
                  </w:r>
                  <w:hyperlink r:id="rId12" w:history="1">
                    <w:r>
                      <w:rPr>
                        <w:rStyle w:val="Hyperlink"/>
                        <w:rFonts w:ascii="Arial" w:hAnsi="Arial" w:cs="Arial"/>
                        <w:i/>
                        <w:iCs/>
                        <w:sz w:val="21"/>
                        <w:szCs w:val="21"/>
                      </w:rPr>
                      <w:t>(CoE-IHS)</w:t>
                    </w:r>
                  </w:hyperlink>
                  <w:r>
                    <w:rPr>
                      <w:rStyle w:val="Emphasis"/>
                      <w:rFonts w:ascii="Arial" w:hAnsi="Arial" w:cs="Arial"/>
                      <w:color w:val="000000"/>
                      <w:sz w:val="21"/>
                      <w:szCs w:val="21"/>
                    </w:rPr>
                    <w:t xml:space="preserve">, funded by a grant award from the Substance Abuse and Mental Health Services Administration (SAMHSA). If you have any questions about this opportunity, please contact </w:t>
                  </w:r>
                  <w:hyperlink r:id="rId13" w:history="1">
                    <w:r>
                      <w:rPr>
                        <w:rStyle w:val="Hyperlink"/>
                        <w:rFonts w:ascii="Arial" w:hAnsi="Arial" w:cs="Arial"/>
                        <w:i/>
                        <w:iCs/>
                        <w:sz w:val="21"/>
                        <w:szCs w:val="21"/>
                      </w:rPr>
                      <w:t>Integration@TheNationalCouncil.org</w:t>
                    </w:r>
                  </w:hyperlink>
                  <w:r>
                    <w:rPr>
                      <w:rStyle w:val="Emphasis"/>
                      <w:rFonts w:ascii="Arial" w:hAnsi="Arial" w:cs="Arial"/>
                      <w:color w:val="000000"/>
                      <w:sz w:val="21"/>
                      <w:szCs w:val="21"/>
                    </w:rPr>
                    <w:t>.</w:t>
                  </w:r>
                </w:p>
                <w:p w14:paraId="2C0EF847" w14:textId="77777777" w:rsidR="00284B77" w:rsidRDefault="00284B77">
                  <w:pPr>
                    <w:pStyle w:val="NormalWeb"/>
                    <w:spacing w:line="300" w:lineRule="exact"/>
                    <w:rPr>
                      <w:color w:val="000000"/>
                      <w:sz w:val="21"/>
                      <w:szCs w:val="21"/>
                    </w:rPr>
                  </w:pPr>
                  <w:hyperlink r:id="rId14" w:history="1">
                    <w:r>
                      <w:rPr>
                        <w:rStyle w:val="Hyperlink"/>
                        <w:sz w:val="21"/>
                        <w:szCs w:val="21"/>
                      </w:rPr>
                      <w:t xml:space="preserve">Subscribe today </w:t>
                    </w:r>
                  </w:hyperlink>
                  <w:r>
                    <w:rPr>
                      <w:color w:val="000000"/>
                      <w:sz w:val="21"/>
                      <w:szCs w:val="21"/>
                    </w:rPr>
                    <w:t xml:space="preserve">for </w:t>
                  </w:r>
                  <w:proofErr w:type="spellStart"/>
                  <w:r>
                    <w:rPr>
                      <w:color w:val="000000"/>
                      <w:sz w:val="21"/>
                      <w:szCs w:val="21"/>
                    </w:rPr>
                    <w:t>CoE</w:t>
                  </w:r>
                  <w:proofErr w:type="spellEnd"/>
                  <w:r>
                    <w:rPr>
                      <w:color w:val="000000"/>
                      <w:sz w:val="21"/>
                      <w:szCs w:val="21"/>
                    </w:rPr>
                    <w:t>-IHS updates.</w:t>
                  </w:r>
                </w:p>
              </w:tc>
            </w:tr>
            <w:tr w:rsidR="00284B77" w14:paraId="396844D5" w14:textId="77777777">
              <w:trPr>
                <w:trHeight w:val="300"/>
                <w:jc w:val="center"/>
              </w:trPr>
              <w:tc>
                <w:tcPr>
                  <w:tcW w:w="0" w:type="auto"/>
                  <w:vAlign w:val="center"/>
                  <w:hideMark/>
                </w:tcPr>
                <w:p w14:paraId="1B4822B5" w14:textId="77777777" w:rsidR="00284B77" w:rsidRDefault="00284B77">
                  <w:pPr>
                    <w:spacing w:line="15" w:lineRule="atLeast"/>
                    <w:jc w:val="center"/>
                    <w:rPr>
                      <w:rFonts w:ascii="Arial" w:hAnsi="Arial" w:cs="Arial"/>
                      <w:sz w:val="2"/>
                      <w:szCs w:val="2"/>
                    </w:rPr>
                  </w:pPr>
                  <w:r>
                    <w:rPr>
                      <w:rFonts w:ascii="Arial" w:hAnsi="Arial" w:cs="Arial"/>
                      <w:sz w:val="2"/>
                      <w:szCs w:val="2"/>
                    </w:rPr>
                    <w:t xml:space="preserve">  </w:t>
                  </w:r>
                </w:p>
              </w:tc>
            </w:tr>
          </w:tbl>
          <w:p w14:paraId="7025795D" w14:textId="77777777" w:rsidR="00284B77" w:rsidRDefault="00284B77">
            <w:pPr>
              <w:jc w:val="center"/>
              <w:rPr>
                <w:rFonts w:ascii="Times New Roman" w:eastAsia="Times New Roman" w:hAnsi="Times New Roman" w:cs="Times New Roman"/>
                <w:sz w:val="20"/>
                <w:szCs w:val="20"/>
              </w:rPr>
            </w:pPr>
          </w:p>
        </w:tc>
      </w:tr>
    </w:tbl>
    <w:p w14:paraId="7313E59F" w14:textId="77777777" w:rsidR="00284B77" w:rsidRDefault="00284B77" w:rsidP="00284B77">
      <w:pPr>
        <w:rPr>
          <w:rFonts w:ascii="Arial" w:hAnsi="Arial" w:cs="Arial"/>
        </w:rPr>
      </w:pPr>
    </w:p>
    <w:p w14:paraId="5BF791B1" w14:textId="77777777" w:rsidR="00284B77" w:rsidRDefault="00284B77"/>
    <w:sectPr w:rsidR="00284B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799C" w14:textId="77777777" w:rsidR="001A19A4" w:rsidRDefault="001A19A4" w:rsidP="001A19A4">
      <w:r>
        <w:separator/>
      </w:r>
    </w:p>
  </w:endnote>
  <w:endnote w:type="continuationSeparator" w:id="0">
    <w:p w14:paraId="5FB9014E" w14:textId="77777777" w:rsidR="001A19A4" w:rsidRDefault="001A19A4" w:rsidP="001A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10549"/>
      <w:docPartObj>
        <w:docPartGallery w:val="Page Numbers (Bottom of Page)"/>
        <w:docPartUnique/>
      </w:docPartObj>
    </w:sdtPr>
    <w:sdtEndPr>
      <w:rPr>
        <w:i/>
        <w:iCs/>
        <w:noProof/>
        <w:sz w:val="18"/>
        <w:szCs w:val="18"/>
      </w:rPr>
    </w:sdtEndPr>
    <w:sdtContent>
      <w:p w14:paraId="2695C195" w14:textId="0515B32E" w:rsidR="001A19A4" w:rsidRPr="001A19A4" w:rsidRDefault="001A19A4">
        <w:pPr>
          <w:pStyle w:val="Footer"/>
          <w:jc w:val="center"/>
          <w:rPr>
            <w:i/>
            <w:iCs/>
            <w:sz w:val="18"/>
            <w:szCs w:val="18"/>
          </w:rPr>
        </w:pPr>
        <w:r w:rsidRPr="001A19A4">
          <w:rPr>
            <w:i/>
            <w:iCs/>
            <w:sz w:val="18"/>
            <w:szCs w:val="18"/>
          </w:rPr>
          <w:fldChar w:fldCharType="begin"/>
        </w:r>
        <w:r w:rsidRPr="001A19A4">
          <w:rPr>
            <w:i/>
            <w:iCs/>
            <w:sz w:val="18"/>
            <w:szCs w:val="18"/>
          </w:rPr>
          <w:instrText xml:space="preserve"> PAGE   \* MERGEFORMAT </w:instrText>
        </w:r>
        <w:r w:rsidRPr="001A19A4">
          <w:rPr>
            <w:i/>
            <w:iCs/>
            <w:sz w:val="18"/>
            <w:szCs w:val="18"/>
          </w:rPr>
          <w:fldChar w:fldCharType="separate"/>
        </w:r>
        <w:r w:rsidRPr="001A19A4">
          <w:rPr>
            <w:i/>
            <w:iCs/>
            <w:noProof/>
            <w:sz w:val="18"/>
            <w:szCs w:val="18"/>
          </w:rPr>
          <w:t>2</w:t>
        </w:r>
        <w:r w:rsidRPr="001A19A4">
          <w:rPr>
            <w:i/>
            <w:iCs/>
            <w:noProof/>
            <w:sz w:val="18"/>
            <w:szCs w:val="18"/>
          </w:rPr>
          <w:fldChar w:fldCharType="end"/>
        </w:r>
      </w:p>
    </w:sdtContent>
  </w:sdt>
  <w:p w14:paraId="0B34D0B1" w14:textId="77777777" w:rsidR="001A19A4" w:rsidRDefault="001A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7CB0" w14:textId="77777777" w:rsidR="001A19A4" w:rsidRDefault="001A19A4" w:rsidP="001A19A4">
      <w:r>
        <w:separator/>
      </w:r>
    </w:p>
  </w:footnote>
  <w:footnote w:type="continuationSeparator" w:id="0">
    <w:p w14:paraId="6406B4C6" w14:textId="77777777" w:rsidR="001A19A4" w:rsidRDefault="001A19A4" w:rsidP="001A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77"/>
    <w:rsid w:val="001A19A4"/>
    <w:rsid w:val="00242165"/>
    <w:rsid w:val="00284B77"/>
    <w:rsid w:val="00C93A64"/>
    <w:rsid w:val="00DA1745"/>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09B1"/>
  <w15:chartTrackingRefBased/>
  <w15:docId w15:val="{9D50EE56-E37D-4381-B253-C6A0593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B77"/>
    <w:rPr>
      <w:color w:val="0000FF"/>
      <w:u w:val="single"/>
    </w:rPr>
  </w:style>
  <w:style w:type="paragraph" w:styleId="NormalWeb">
    <w:name w:val="Normal (Web)"/>
    <w:basedOn w:val="Normal"/>
    <w:uiPriority w:val="99"/>
    <w:semiHidden/>
    <w:unhideWhenUsed/>
    <w:rsid w:val="00284B77"/>
    <w:pPr>
      <w:spacing w:before="100" w:beforeAutospacing="1" w:after="100" w:afterAutospacing="1"/>
    </w:pPr>
  </w:style>
  <w:style w:type="character" w:styleId="Emphasis">
    <w:name w:val="Emphasis"/>
    <w:basedOn w:val="DefaultParagraphFont"/>
    <w:uiPriority w:val="20"/>
    <w:qFormat/>
    <w:rsid w:val="00284B77"/>
    <w:rPr>
      <w:i/>
      <w:iCs/>
    </w:rPr>
  </w:style>
  <w:style w:type="character" w:styleId="Strong">
    <w:name w:val="Strong"/>
    <w:basedOn w:val="DefaultParagraphFont"/>
    <w:uiPriority w:val="22"/>
    <w:qFormat/>
    <w:rsid w:val="00284B77"/>
    <w:rPr>
      <w:b/>
      <w:bCs/>
    </w:rPr>
  </w:style>
  <w:style w:type="paragraph" w:styleId="Header">
    <w:name w:val="header"/>
    <w:basedOn w:val="Normal"/>
    <w:link w:val="HeaderChar"/>
    <w:uiPriority w:val="99"/>
    <w:unhideWhenUsed/>
    <w:rsid w:val="001A19A4"/>
    <w:pPr>
      <w:tabs>
        <w:tab w:val="center" w:pos="4680"/>
        <w:tab w:val="right" w:pos="9360"/>
      </w:tabs>
    </w:pPr>
  </w:style>
  <w:style w:type="character" w:customStyle="1" w:styleId="HeaderChar">
    <w:name w:val="Header Char"/>
    <w:basedOn w:val="DefaultParagraphFont"/>
    <w:link w:val="Header"/>
    <w:uiPriority w:val="99"/>
    <w:rsid w:val="001A19A4"/>
    <w:rPr>
      <w:rFonts w:ascii="Calibri" w:hAnsi="Calibri" w:cs="Calibri"/>
    </w:rPr>
  </w:style>
  <w:style w:type="paragraph" w:styleId="Footer">
    <w:name w:val="footer"/>
    <w:basedOn w:val="Normal"/>
    <w:link w:val="FooterChar"/>
    <w:uiPriority w:val="99"/>
    <w:unhideWhenUsed/>
    <w:rsid w:val="001A19A4"/>
    <w:pPr>
      <w:tabs>
        <w:tab w:val="center" w:pos="4680"/>
        <w:tab w:val="right" w:pos="9360"/>
      </w:tabs>
    </w:pPr>
  </w:style>
  <w:style w:type="character" w:customStyle="1" w:styleId="FooterChar">
    <w:name w:val="Footer Char"/>
    <w:basedOn w:val="DefaultParagraphFont"/>
    <w:link w:val="Footer"/>
    <w:uiPriority w:val="99"/>
    <w:rsid w:val="001A19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enationalcouncil.org/NzczLU1KRi0zNzkAAAGDnizeGmeF1kZGlzLTH-y_Op0FQ8TbXh9Vu3yiY0DwvzApV4jnVVfGuPu79j3gN8MTPVYEKHw=" TargetMode="External"/><Relationship Id="rId13" Type="http://schemas.openxmlformats.org/officeDocument/2006/relationships/hyperlink" Target="https://go.thenationalcouncil.org/NzczLU1KRi0zNzkAAAGDnizeGvo-7AhnUYw5kMepL0OUMzjbWsXXnHPNIpg6IwOKpouGkWKOR41GDH4bc2CJ7zj25DE=" TargetMode="External"/><Relationship Id="rId3" Type="http://schemas.openxmlformats.org/officeDocument/2006/relationships/webSettings" Target="webSettings.xml"/><Relationship Id="rId7" Type="http://schemas.openxmlformats.org/officeDocument/2006/relationships/hyperlink" Target="https://go.thenationalcouncil.org/NzczLU1KRi0zNzkAAAGDnizeGmeF1kZGlzLTH-y_Op0FQ8TbXh9Vu3yiY0DwvzApV4jnVVfGuPu79j3gN8MTPVYEKHw=" TargetMode="External"/><Relationship Id="rId12" Type="http://schemas.openxmlformats.org/officeDocument/2006/relationships/hyperlink" Target="https://go.thenationalcouncil.org/NzczLU1KRi0zNzkAAAGDnizeGu-LB-ff-3P6-fFyNTOY7KUuW_aMr8xhnYGEGra6qeab1aNHk2HzkSArJbRSvejDvp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o.thenationalcouncil.org/NzczLU1KRi0zNzkAAAGDnizeGu-LB-ff-3P6-fFyNTOY7KUuW_aMr8xhnYGEGra6qeab1aNHk2HzkSArJbRSvejDvp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o.thenationalcouncil.org/NzczLU1KRi0zNzkAAAGDnizeGjFkW-ftYWC-91yaRuINjfqVifRVhH4OaMKb8HkOOA-X9qISYdmiDBksQ78cocJZscE=" TargetMode="External"/><Relationship Id="rId4" Type="http://schemas.openxmlformats.org/officeDocument/2006/relationships/footnotes" Target="footnotes.xml"/><Relationship Id="rId9" Type="http://schemas.openxmlformats.org/officeDocument/2006/relationships/hyperlink" Target="https://go.thenationalcouncil.org/NzczLU1KRi0zNzkAAAGDnizeGiXuCwK_aOrNIftUwnBIGWWVFaF9tQ7ZlXkNLkZ8dQUZPCBM8HSPWsnDK4D7o81Yv5I=" TargetMode="External"/><Relationship Id="rId14" Type="http://schemas.openxmlformats.org/officeDocument/2006/relationships/hyperlink" Target="https://go.thenationalcouncil.org/NzczLU1KRi0zNzkAAAGDnizeGqBo6vdzvT9asoZ2Mtiex8IVN_w_vQ_6S4Zq9tEmXRGGlzSQqwmaJLYRIgBQ1ZxnZ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2022-04-07T20:37:00Z</dcterms:created>
  <dcterms:modified xsi:type="dcterms:W3CDTF">2022-04-07T20:54:00Z</dcterms:modified>
</cp:coreProperties>
</file>