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44CD" w14:textId="4C0C949B" w:rsidR="00344AAE" w:rsidRDefault="00DC7013"/>
    <w:tbl>
      <w:tblPr>
        <w:tblW w:w="11250" w:type="dxa"/>
        <w:jc w:val="center"/>
        <w:tblCellSpacing w:w="18" w:type="dxa"/>
        <w:shd w:val="clear" w:color="auto" w:fill="000055"/>
        <w:tblCellMar>
          <w:left w:w="0" w:type="dxa"/>
          <w:right w:w="0" w:type="dxa"/>
        </w:tblCellMar>
        <w:tblLook w:val="04A0" w:firstRow="1" w:lastRow="0" w:firstColumn="1" w:lastColumn="0" w:noHBand="0" w:noVBand="1"/>
      </w:tblPr>
      <w:tblGrid>
        <w:gridCol w:w="11250"/>
      </w:tblGrid>
      <w:tr w:rsidR="00DC7013" w14:paraId="56C1C5EA" w14:textId="77777777" w:rsidTr="00DC7013">
        <w:trPr>
          <w:trHeight w:val="9003"/>
          <w:tblCellSpacing w:w="18" w:type="dxa"/>
          <w:jc w:val="center"/>
        </w:trPr>
        <w:tc>
          <w:tcPr>
            <w:tcW w:w="0" w:type="auto"/>
            <w:shd w:val="clear" w:color="auto" w:fill="000055"/>
            <w:tcMar>
              <w:top w:w="75" w:type="dxa"/>
              <w:left w:w="75" w:type="dxa"/>
              <w:bottom w:w="75" w:type="dxa"/>
              <w:right w:w="75" w:type="dxa"/>
            </w:tcMar>
            <w:vAlign w:val="center"/>
            <w:hideMark/>
          </w:tcPr>
          <w:p w14:paraId="4433E7B2" w14:textId="77777777" w:rsidR="00DC7013" w:rsidRDefault="00DC7013">
            <w:pPr>
              <w:spacing w:before="100" w:beforeAutospacing="1" w:after="100" w:afterAutospacing="1" w:line="252" w:lineRule="auto"/>
              <w:jc w:val="center"/>
              <w:rPr>
                <w:rFonts w:ascii="Times New Roman" w:hAnsi="Times New Roman" w:cs="Times New Roman"/>
                <w:sz w:val="24"/>
                <w:szCs w:val="24"/>
              </w:rPr>
            </w:pPr>
            <w:r>
              <w:rPr>
                <w:rFonts w:ascii="Times New Roman" w:hAnsi="Times New Roman" w:cs="Times New Roman"/>
                <w:sz w:val="24"/>
                <w:szCs w:val="24"/>
              </w:rPr>
              <w:t> </w:t>
            </w:r>
          </w:p>
          <w:tbl>
            <w:tblPr>
              <w:tblW w:w="9929" w:type="dxa"/>
              <w:jc w:val="center"/>
              <w:tblCellSpacing w:w="18" w:type="dxa"/>
              <w:shd w:val="clear" w:color="auto" w:fill="FFFFFF"/>
              <w:tblCellMar>
                <w:left w:w="0" w:type="dxa"/>
                <w:right w:w="0" w:type="dxa"/>
              </w:tblCellMar>
              <w:tblLook w:val="04A0" w:firstRow="1" w:lastRow="0" w:firstColumn="1" w:lastColumn="0" w:noHBand="0" w:noVBand="1"/>
            </w:tblPr>
            <w:tblGrid>
              <w:gridCol w:w="9929"/>
            </w:tblGrid>
            <w:tr w:rsidR="00DC7013" w14:paraId="05793760" w14:textId="77777777">
              <w:trPr>
                <w:trHeight w:val="7614"/>
                <w:tblCellSpacing w:w="18" w:type="dxa"/>
                <w:jc w:val="center"/>
              </w:trPr>
              <w:tc>
                <w:tcPr>
                  <w:tcW w:w="0" w:type="auto"/>
                  <w:shd w:val="clear" w:color="auto" w:fill="FFFFFF"/>
                  <w:tcMar>
                    <w:top w:w="75" w:type="dxa"/>
                    <w:left w:w="75" w:type="dxa"/>
                    <w:bottom w:w="75" w:type="dxa"/>
                    <w:right w:w="75" w:type="dxa"/>
                  </w:tcMar>
                </w:tcPr>
                <w:p w14:paraId="164C7866" w14:textId="313FA1ED" w:rsidR="00DC7013" w:rsidRDefault="00DC7013">
                  <w:pPr>
                    <w:spacing w:before="100" w:beforeAutospacing="1" w:after="100" w:afterAutospacing="1" w:line="252" w:lineRule="auto"/>
                    <w:jc w:val="center"/>
                  </w:pPr>
                  <w:r>
                    <w:rPr>
                      <w:noProof/>
                      <w:color w:val="000000"/>
                    </w:rPr>
                    <w:drawing>
                      <wp:inline distT="0" distB="0" distL="0" distR="0" wp14:anchorId="63BF7D39" wp14:editId="6CE1E5F4">
                        <wp:extent cx="5943600" cy="1237615"/>
                        <wp:effectExtent l="0" t="0" r="0" b="635"/>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37615"/>
                                </a:xfrm>
                                <a:prstGeom prst="rect">
                                  <a:avLst/>
                                </a:prstGeom>
                                <a:noFill/>
                                <a:ln>
                                  <a:noFill/>
                                </a:ln>
                              </pic:spPr>
                            </pic:pic>
                          </a:graphicData>
                        </a:graphic>
                      </wp:inline>
                    </w:drawing>
                  </w:r>
                  <w:r>
                    <w:rPr>
                      <w:color w:val="000000"/>
                    </w:rPr>
                    <w:t> </w:t>
                  </w:r>
                </w:p>
                <w:p w14:paraId="0EB3A7A4" w14:textId="77777777" w:rsidR="00DC7013" w:rsidRDefault="00DC7013">
                  <w:pPr>
                    <w:spacing w:line="252" w:lineRule="auto"/>
                    <w:jc w:val="center"/>
                    <w:rPr>
                      <w:rFonts w:ascii="Georgia" w:hAnsi="Georgia"/>
                      <w:b/>
                      <w:bCs/>
                      <w:color w:val="000000"/>
                      <w:sz w:val="28"/>
                      <w:szCs w:val="28"/>
                    </w:rPr>
                  </w:pPr>
                  <w:r>
                    <w:rPr>
                      <w:rFonts w:ascii="Georgia" w:hAnsi="Georgia"/>
                      <w:b/>
                      <w:bCs/>
                      <w:color w:val="000000"/>
                      <w:sz w:val="28"/>
                      <w:szCs w:val="28"/>
                    </w:rPr>
                    <w:t>Opioid Litigation Settlement Convening:</w:t>
                  </w:r>
                </w:p>
                <w:p w14:paraId="1D32F61A" w14:textId="77777777" w:rsidR="00DC7013" w:rsidRDefault="00DC7013">
                  <w:pPr>
                    <w:spacing w:line="252" w:lineRule="auto"/>
                    <w:jc w:val="center"/>
                  </w:pPr>
                  <w:r>
                    <w:rPr>
                      <w:rFonts w:ascii="Georgia" w:hAnsi="Georgia"/>
                      <w:b/>
                      <w:bCs/>
                      <w:color w:val="000000"/>
                      <w:sz w:val="28"/>
                      <w:szCs w:val="28"/>
                    </w:rPr>
                    <w:t>Using Evidence to Lead Action</w:t>
                  </w:r>
                  <w:r>
                    <w:rPr>
                      <w:rFonts w:ascii="Georgia" w:hAnsi="Georgia"/>
                      <w:b/>
                      <w:bCs/>
                      <w:color w:val="10253F"/>
                    </w:rPr>
                    <w:t> </w:t>
                  </w:r>
                </w:p>
                <w:p w14:paraId="47180DC6" w14:textId="77777777" w:rsidR="00DC7013" w:rsidRDefault="00DC7013">
                  <w:pPr>
                    <w:spacing w:line="252" w:lineRule="auto"/>
                    <w:jc w:val="center"/>
                    <w:rPr>
                      <w:rFonts w:ascii="Georgia" w:hAnsi="Georgia"/>
                      <w:b/>
                      <w:bCs/>
                      <w:color w:val="000000"/>
                    </w:rPr>
                  </w:pPr>
                  <w:r>
                    <w:rPr>
                      <w:rFonts w:ascii="Georgia" w:hAnsi="Georgia"/>
                      <w:b/>
                      <w:bCs/>
                      <w:color w:val="000000"/>
                    </w:rPr>
                    <w:t xml:space="preserve">Monday, August 30 </w:t>
                  </w:r>
                </w:p>
                <w:p w14:paraId="00D545F7" w14:textId="77777777" w:rsidR="00DC7013" w:rsidRDefault="00DC7013">
                  <w:pPr>
                    <w:spacing w:line="252" w:lineRule="auto"/>
                    <w:jc w:val="center"/>
                    <w:rPr>
                      <w:rFonts w:ascii="Georgia" w:hAnsi="Georgia"/>
                      <w:b/>
                      <w:bCs/>
                      <w:color w:val="000000"/>
                    </w:rPr>
                  </w:pPr>
                  <w:r>
                    <w:rPr>
                      <w:rFonts w:ascii="Georgia" w:hAnsi="Georgia"/>
                      <w:b/>
                      <w:bCs/>
                      <w:color w:val="000000"/>
                    </w:rPr>
                    <w:t>12:30p – 5:00p EDT</w:t>
                  </w:r>
                </w:p>
                <w:p w14:paraId="10E9D0D3" w14:textId="77777777" w:rsidR="00DC7013" w:rsidRDefault="00DC7013">
                  <w:pPr>
                    <w:spacing w:line="252" w:lineRule="auto"/>
                    <w:jc w:val="center"/>
                  </w:pPr>
                </w:p>
                <w:p w14:paraId="74FCFC0D" w14:textId="77777777" w:rsidR="00DC7013" w:rsidRDefault="00DC7013">
                  <w:pPr>
                    <w:spacing w:after="240" w:line="252" w:lineRule="auto"/>
                    <w:jc w:val="center"/>
                  </w:pPr>
                  <w:r>
                    <w:rPr>
                      <w:color w:val="000000"/>
                    </w:rPr>
                    <w:t xml:space="preserve">This is event open to all State, local, and Tribal government leaders. </w:t>
                  </w:r>
                  <w:hyperlink r:id="rId5" w:history="1">
                    <w:r>
                      <w:rPr>
                        <w:rStyle w:val="Hyperlink"/>
                        <w:b/>
                        <w:bCs/>
                      </w:rPr>
                      <w:t>Register here</w:t>
                    </w:r>
                  </w:hyperlink>
                  <w:r>
                    <w:rPr>
                      <w:b/>
                      <w:bCs/>
                      <w:color w:val="000000"/>
                    </w:rPr>
                    <w:t>.</w:t>
                  </w:r>
                </w:p>
                <w:p w14:paraId="285E7C6B" w14:textId="77777777" w:rsidR="00DC7013" w:rsidRDefault="00DC7013">
                  <w:pPr>
                    <w:spacing w:line="252" w:lineRule="auto"/>
                    <w:jc w:val="center"/>
                    <w:rPr>
                      <w:color w:val="000000"/>
                    </w:rPr>
                  </w:pPr>
                  <w:r>
                    <w:rPr>
                      <w:color w:val="000000"/>
                    </w:rPr>
                    <w:t xml:space="preserve">The Office of National Drug Control Policy invites you to join Acting Director Regina LaBelle for a virtual convening for the Nation’s State, local, county, and Tribal government leaders to share best practices on the use of forthcoming opioid litigation settlement funds.  </w:t>
                  </w:r>
                </w:p>
                <w:p w14:paraId="4BD7D024" w14:textId="77777777" w:rsidR="00DC7013" w:rsidRDefault="00DC7013">
                  <w:pPr>
                    <w:spacing w:line="252" w:lineRule="auto"/>
                    <w:rPr>
                      <w:color w:val="000000"/>
                    </w:rPr>
                  </w:pPr>
                </w:p>
                <w:p w14:paraId="3158C28E" w14:textId="77777777" w:rsidR="00DC7013" w:rsidRDefault="00DC7013">
                  <w:pPr>
                    <w:spacing w:line="252" w:lineRule="auto"/>
                    <w:jc w:val="center"/>
                  </w:pPr>
                  <w:r>
                    <w:rPr>
                      <w:color w:val="000000"/>
                    </w:rPr>
                    <w:t xml:space="preserve">This event will offer principles to guide decisions about using settlement funds, provide tools for assessing community needs and concerns related to substance use disorder and overdose, and highlight best practices for collaboration between service providers and State, local, county, and Tribal governments to </w:t>
                  </w:r>
                </w:p>
                <w:p w14:paraId="352C9462" w14:textId="77777777" w:rsidR="00DC7013" w:rsidRDefault="00DC7013">
                  <w:pPr>
                    <w:spacing w:line="252" w:lineRule="auto"/>
                    <w:jc w:val="center"/>
                  </w:pPr>
                  <w:r>
                    <w:rPr>
                      <w:color w:val="000000"/>
                    </w:rPr>
                    <w:t>deliver evidence-based care and services.</w:t>
                  </w:r>
                </w:p>
                <w:p w14:paraId="0A45426E" w14:textId="77777777" w:rsidR="00DC7013" w:rsidRDefault="00DC7013">
                  <w:pPr>
                    <w:spacing w:line="252" w:lineRule="auto"/>
                    <w:jc w:val="center"/>
                  </w:pPr>
                </w:p>
                <w:p w14:paraId="1E122CBC" w14:textId="77777777" w:rsidR="00DC7013" w:rsidRDefault="00DC7013">
                  <w:pPr>
                    <w:spacing w:after="240" w:line="252" w:lineRule="auto"/>
                    <w:jc w:val="center"/>
                    <w:rPr>
                      <w:b/>
                      <w:bCs/>
                    </w:rPr>
                  </w:pPr>
                  <w:r>
                    <w:rPr>
                      <w:color w:val="000000"/>
                    </w:rPr>
                    <w:t xml:space="preserve">This conversation is scheduled for a half </w:t>
                  </w:r>
                  <w:proofErr w:type="gramStart"/>
                  <w:r>
                    <w:rPr>
                      <w:color w:val="000000"/>
                    </w:rPr>
                    <w:t>day, and</w:t>
                  </w:r>
                  <w:proofErr w:type="gramEnd"/>
                  <w:r>
                    <w:rPr>
                      <w:color w:val="000000"/>
                    </w:rPr>
                    <w:t xml:space="preserve"> is for engagement purposes only.  Closed press.</w:t>
                  </w:r>
                </w:p>
                <w:p w14:paraId="3A4AF9AB" w14:textId="77777777" w:rsidR="00DC7013" w:rsidRDefault="00DC7013">
                  <w:pPr>
                    <w:spacing w:line="252" w:lineRule="auto"/>
                    <w:jc w:val="center"/>
                    <w:rPr>
                      <w:b/>
                      <w:bCs/>
                    </w:rPr>
                  </w:pPr>
                  <w:r>
                    <w:rPr>
                      <w:b/>
                      <w:bCs/>
                      <w:color w:val="000000"/>
                    </w:rPr>
                    <w:t xml:space="preserve">We look forward to a productive discussion. </w:t>
                  </w:r>
                  <w:hyperlink r:id="rId6" w:history="1">
                    <w:r>
                      <w:rPr>
                        <w:rStyle w:val="Hyperlink"/>
                        <w:b/>
                        <w:bCs/>
                      </w:rPr>
                      <w:t>Register here</w:t>
                    </w:r>
                  </w:hyperlink>
                  <w:r>
                    <w:rPr>
                      <w:color w:val="000000"/>
                    </w:rPr>
                    <w:t xml:space="preserve">. </w:t>
                  </w:r>
                </w:p>
                <w:p w14:paraId="6958F900" w14:textId="77777777" w:rsidR="00DC7013" w:rsidRDefault="00DC7013">
                  <w:pPr>
                    <w:spacing w:line="252" w:lineRule="auto"/>
                    <w:jc w:val="center"/>
                    <w:rPr>
                      <w:b/>
                      <w:bCs/>
                      <w:color w:val="000000"/>
                    </w:rPr>
                  </w:pPr>
                </w:p>
                <w:p w14:paraId="155553B6" w14:textId="77777777" w:rsidR="00DC7013" w:rsidRDefault="00DC7013">
                  <w:pPr>
                    <w:spacing w:line="252" w:lineRule="auto"/>
                    <w:jc w:val="center"/>
                  </w:pPr>
                </w:p>
              </w:tc>
            </w:tr>
            <w:tr w:rsidR="00DC7013" w14:paraId="4C051AFB" w14:textId="77777777">
              <w:trPr>
                <w:tblCellSpacing w:w="18" w:type="dxa"/>
                <w:jc w:val="center"/>
              </w:trPr>
              <w:tc>
                <w:tcPr>
                  <w:tcW w:w="0" w:type="auto"/>
                  <w:shd w:val="clear" w:color="auto" w:fill="FFFFFF"/>
                  <w:tcMar>
                    <w:top w:w="75" w:type="dxa"/>
                    <w:left w:w="75" w:type="dxa"/>
                    <w:bottom w:w="75" w:type="dxa"/>
                    <w:right w:w="75" w:type="dxa"/>
                  </w:tcMar>
                  <w:hideMark/>
                </w:tcPr>
                <w:p w14:paraId="164E1194" w14:textId="77777777" w:rsidR="00DC7013" w:rsidRDefault="00DC7013"/>
              </w:tc>
            </w:tr>
            <w:tr w:rsidR="00DC7013" w14:paraId="5254D2F7" w14:textId="77777777">
              <w:trPr>
                <w:tblCellSpacing w:w="18" w:type="dxa"/>
                <w:jc w:val="center"/>
              </w:trPr>
              <w:tc>
                <w:tcPr>
                  <w:tcW w:w="0" w:type="auto"/>
                  <w:shd w:val="clear" w:color="auto" w:fill="FFFFFF"/>
                  <w:tcMar>
                    <w:top w:w="75" w:type="dxa"/>
                    <w:left w:w="75" w:type="dxa"/>
                    <w:bottom w:w="75" w:type="dxa"/>
                    <w:right w:w="75" w:type="dxa"/>
                  </w:tcMar>
                  <w:hideMark/>
                </w:tcPr>
                <w:p w14:paraId="7AE8DC35" w14:textId="77777777" w:rsidR="00DC7013" w:rsidRDefault="00DC7013">
                  <w:pPr>
                    <w:rPr>
                      <w:rFonts w:ascii="Times New Roman" w:eastAsia="Times New Roman" w:hAnsi="Times New Roman" w:cs="Times New Roman"/>
                      <w:sz w:val="20"/>
                      <w:szCs w:val="20"/>
                    </w:rPr>
                  </w:pPr>
                </w:p>
              </w:tc>
            </w:tr>
          </w:tbl>
          <w:p w14:paraId="1B2E355C" w14:textId="77777777" w:rsidR="00DC7013" w:rsidRDefault="00DC7013">
            <w:pPr>
              <w:jc w:val="center"/>
              <w:rPr>
                <w:rFonts w:ascii="Times New Roman" w:eastAsia="Times New Roman" w:hAnsi="Times New Roman" w:cs="Times New Roman"/>
                <w:sz w:val="20"/>
                <w:szCs w:val="20"/>
              </w:rPr>
            </w:pPr>
          </w:p>
        </w:tc>
      </w:tr>
    </w:tbl>
    <w:p w14:paraId="19ADE2F1" w14:textId="77777777" w:rsidR="00DC7013" w:rsidRDefault="00DC7013"/>
    <w:sectPr w:rsidR="00DC7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13"/>
    <w:rsid w:val="00242165"/>
    <w:rsid w:val="00C93A64"/>
    <w:rsid w:val="00DC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1021"/>
  <w15:chartTrackingRefBased/>
  <w15:docId w15:val="{752D6336-1913-4715-93B7-978BBA7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0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0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tc.zoomgov.com/webinar/register/WN_onrz4YpaSHimelDWNDMXkA" TargetMode="External"/><Relationship Id="rId5" Type="http://schemas.openxmlformats.org/officeDocument/2006/relationships/hyperlink" Target="https://pitc.zoomgov.com/webinar/register/WN_onrz4YpaSHimelDWNDMXk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1</cp:revision>
  <dcterms:created xsi:type="dcterms:W3CDTF">2021-08-16T15:57:00Z</dcterms:created>
  <dcterms:modified xsi:type="dcterms:W3CDTF">2021-08-16T15:59:00Z</dcterms:modified>
</cp:coreProperties>
</file>